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1407FAA3" w:rsidR="00B51DEB" w:rsidRDefault="007F5536" w:rsidP="005A5EA6">
      <w:pPr>
        <w:pBdr>
          <w:top w:val="thinThickThinSmallGap" w:sz="24" w:space="1" w:color="auto"/>
          <w:left w:val="thinThickThinSmallGap" w:sz="24" w:space="4" w:color="auto"/>
          <w:bottom w:val="thinThickThinSmallGap" w:sz="24" w:space="1" w:color="auto"/>
          <w:right w:val="thinThickThinSmallGap" w:sz="24" w:space="4" w:color="auto"/>
        </w:pBdr>
        <w:spacing w:line="360" w:lineRule="auto"/>
        <w:jc w:val="center"/>
        <w:rPr>
          <w:rFonts w:ascii="Century Gothic" w:eastAsia="Century Gothic" w:hAnsi="Century Gothic" w:cs="Century Gothic"/>
          <w:b/>
        </w:rPr>
      </w:pPr>
      <w:bookmarkStart w:id="0" w:name="_GoBack"/>
      <w:bookmarkEnd w:id="0"/>
      <w:r>
        <w:rPr>
          <w:rFonts w:ascii="Century Gothic" w:eastAsia="Century Gothic" w:hAnsi="Century Gothic" w:cs="Century Gothic"/>
          <w:b/>
        </w:rPr>
        <w:t xml:space="preserve">PROCESSO ADMINISTRATIVO Nº </w:t>
      </w:r>
      <w:r w:rsidR="009F3BA5">
        <w:rPr>
          <w:rFonts w:ascii="Century Gothic" w:eastAsia="Century Gothic" w:hAnsi="Century Gothic" w:cs="Century Gothic"/>
          <w:b/>
        </w:rPr>
        <w:t>22</w:t>
      </w:r>
      <w:r w:rsidR="00D7458E">
        <w:rPr>
          <w:rFonts w:ascii="Century Gothic" w:eastAsia="Century Gothic" w:hAnsi="Century Gothic" w:cs="Century Gothic"/>
          <w:b/>
        </w:rPr>
        <w:t>/2025</w:t>
      </w:r>
      <w:r w:rsidR="008A5C51">
        <w:rPr>
          <w:rFonts w:ascii="Century Gothic" w:eastAsia="Century Gothic" w:hAnsi="Century Gothic" w:cs="Century Gothic"/>
          <w:b/>
        </w:rPr>
        <w:t>.</w:t>
      </w:r>
    </w:p>
    <w:p w14:paraId="59AA1C14" w14:textId="2C4CC250" w:rsidR="00EF2AFE" w:rsidRDefault="00EF2AFE" w:rsidP="005A5EA6">
      <w:pPr>
        <w:pBdr>
          <w:top w:val="thinThickThinSmallGap" w:sz="24" w:space="1" w:color="auto"/>
          <w:left w:val="thinThickThinSmallGap" w:sz="24" w:space="4" w:color="auto"/>
          <w:bottom w:val="thinThickThinSmallGap" w:sz="24" w:space="1" w:color="auto"/>
          <w:right w:val="thinThickThinSmallGap" w:sz="24" w:space="4" w:color="auto"/>
        </w:pBdr>
        <w:spacing w:line="360" w:lineRule="auto"/>
        <w:jc w:val="center"/>
        <w:rPr>
          <w:rFonts w:ascii="Century Gothic" w:eastAsia="Century Gothic" w:hAnsi="Century Gothic" w:cs="Century Gothic"/>
          <w:b/>
        </w:rPr>
      </w:pPr>
      <w:r>
        <w:rPr>
          <w:rFonts w:ascii="Century Gothic" w:eastAsia="Century Gothic" w:hAnsi="Century Gothic" w:cs="Century Gothic"/>
          <w:b/>
        </w:rPr>
        <w:t>PREGÃO ELETRÔNICO Nº 07/2025</w:t>
      </w:r>
    </w:p>
    <w:p w14:paraId="27A0C0B7" w14:textId="77777777" w:rsidR="005A5EA6" w:rsidRDefault="005A5EA6" w:rsidP="005A5EA6">
      <w:pPr>
        <w:spacing w:line="360" w:lineRule="auto"/>
        <w:jc w:val="center"/>
        <w:rPr>
          <w:rFonts w:ascii="Century Gothic" w:eastAsia="Century Gothic" w:hAnsi="Century Gothic" w:cs="Century Gothic"/>
          <w:b/>
        </w:rPr>
      </w:pPr>
    </w:p>
    <w:p w14:paraId="7CD671C5" w14:textId="30E8CC82" w:rsidR="00EF2AFE" w:rsidRPr="00610D5F" w:rsidRDefault="005A5EA6" w:rsidP="00E5495D">
      <w:pPr>
        <w:spacing w:line="240" w:lineRule="auto"/>
        <w:jc w:val="both"/>
        <w:rPr>
          <w:rFonts w:ascii="Century Gothic" w:eastAsia="Century Gothic" w:hAnsi="Century Gothic" w:cs="Century Gothic"/>
        </w:rPr>
      </w:pPr>
      <w:r>
        <w:rPr>
          <w:rFonts w:ascii="Century Gothic" w:eastAsia="Century Gothic" w:hAnsi="Century Gothic" w:cs="Century Gothic"/>
          <w:b/>
        </w:rPr>
        <w:t xml:space="preserve">Assunto: </w:t>
      </w:r>
      <w:r w:rsidR="00EF2AFE" w:rsidRPr="00610D5F">
        <w:rPr>
          <w:rFonts w:ascii="Century Gothic" w:eastAsia="Century Gothic" w:hAnsi="Century Gothic" w:cs="Century Gothic"/>
        </w:rPr>
        <w:t>Análise e julgamento de impugnação</w:t>
      </w:r>
    </w:p>
    <w:p w14:paraId="6C1E18CB" w14:textId="3313DD30" w:rsidR="00EF2AFE" w:rsidRPr="00610D5F" w:rsidRDefault="005A5EA6" w:rsidP="00E5495D">
      <w:pPr>
        <w:spacing w:line="240" w:lineRule="auto"/>
        <w:jc w:val="both"/>
        <w:rPr>
          <w:rFonts w:ascii="Century Gothic" w:eastAsia="Century Gothic" w:hAnsi="Century Gothic" w:cs="Century Gothic"/>
        </w:rPr>
      </w:pPr>
      <w:r>
        <w:rPr>
          <w:rFonts w:ascii="Century Gothic" w:eastAsia="Century Gothic" w:hAnsi="Century Gothic" w:cs="Century Gothic"/>
          <w:b/>
        </w:rPr>
        <w:t>Impugnante</w:t>
      </w:r>
      <w:r w:rsidR="00EF2AFE" w:rsidRPr="00EF2AFE">
        <w:rPr>
          <w:rFonts w:ascii="Century Gothic" w:eastAsia="Century Gothic" w:hAnsi="Century Gothic" w:cs="Century Gothic"/>
          <w:b/>
        </w:rPr>
        <w:t>:</w:t>
      </w:r>
      <w:r w:rsidR="00EF2AFE" w:rsidRPr="00EF2AFE">
        <w:rPr>
          <w:rFonts w:ascii="Century Gothic" w:eastAsia="Century Gothic" w:hAnsi="Century Gothic" w:cs="Century Gothic"/>
          <w:b/>
        </w:rPr>
        <w:tab/>
      </w:r>
      <w:r w:rsidR="006D45E5" w:rsidRPr="006D45E5">
        <w:rPr>
          <w:rFonts w:ascii="Century Gothic" w:eastAsia="Century Gothic" w:hAnsi="Century Gothic" w:cs="Century Gothic"/>
          <w:b/>
        </w:rPr>
        <w:t>TECTONER RECARGA DE TONER LTDA</w:t>
      </w:r>
      <w:r w:rsidR="00EF2AFE" w:rsidRPr="00610D5F">
        <w:rPr>
          <w:rFonts w:ascii="Century Gothic" w:eastAsia="Century Gothic" w:hAnsi="Century Gothic" w:cs="Century Gothic"/>
        </w:rPr>
        <w:t>, inscrita no CNPJ/MF sob nº 01.027.088/0001-06.</w:t>
      </w:r>
    </w:p>
    <w:p w14:paraId="5F8B65E3" w14:textId="77777777" w:rsidR="005A5EA6" w:rsidRDefault="005A5EA6" w:rsidP="00EF2AFE">
      <w:pPr>
        <w:spacing w:before="240" w:line="360" w:lineRule="auto"/>
        <w:jc w:val="both"/>
        <w:rPr>
          <w:rFonts w:ascii="Century Gothic" w:eastAsia="Century Gothic" w:hAnsi="Century Gothic" w:cs="Century Gothic"/>
        </w:rPr>
      </w:pPr>
    </w:p>
    <w:p w14:paraId="38186A4B" w14:textId="70E50AE2" w:rsidR="009348D7" w:rsidRPr="005C1269" w:rsidRDefault="008A5C51" w:rsidP="00C57321">
      <w:pPr>
        <w:spacing w:line="240" w:lineRule="auto"/>
        <w:jc w:val="both"/>
        <w:rPr>
          <w:rFonts w:ascii="Century Gothic" w:eastAsia="Times New Roman" w:hAnsi="Century Gothic" w:cs="Century Gothic"/>
          <w:b/>
          <w:bCs/>
          <w:lang w:eastAsia="zh-CN" w:bidi="hi-IN"/>
        </w:rPr>
      </w:pPr>
      <w:r>
        <w:rPr>
          <w:rFonts w:ascii="Century Gothic" w:eastAsia="Century Gothic" w:hAnsi="Century Gothic" w:cs="Century Gothic"/>
        </w:rPr>
        <w:t xml:space="preserve">Objeto: </w:t>
      </w:r>
      <w:r w:rsidR="00BC4701" w:rsidRPr="00336B01">
        <w:rPr>
          <w:rFonts w:ascii="Century Gothic" w:eastAsia="Times New Roman" w:hAnsi="Century Gothic" w:cs="Century Gothic"/>
          <w:b/>
          <w:bCs/>
          <w:lang w:eastAsia="zh-CN" w:bidi="hi-IN"/>
        </w:rPr>
        <w:t>REGISTRO DE PREÇOS PARA AQUISIÇÃO DE CARTUCHOS E TONERS, DESTINADOS AO SUPRIMENTO DAS IMPRESSORAS DO P</w:t>
      </w:r>
      <w:r w:rsidR="005C1269">
        <w:rPr>
          <w:rFonts w:ascii="Century Gothic" w:eastAsia="Times New Roman" w:hAnsi="Century Gothic" w:cs="Century Gothic"/>
          <w:b/>
          <w:bCs/>
          <w:lang w:eastAsia="zh-CN" w:bidi="hi-IN"/>
        </w:rPr>
        <w:t>ATRIMÔNIO DESTA MUNICIPALIDADE.</w:t>
      </w:r>
    </w:p>
    <w:p w14:paraId="6DFA67D9" w14:textId="77777777" w:rsidR="005A5EA6" w:rsidRDefault="005A5EA6" w:rsidP="00C57321">
      <w:pPr>
        <w:spacing w:before="240" w:line="240" w:lineRule="auto"/>
        <w:jc w:val="both"/>
        <w:rPr>
          <w:rFonts w:ascii="Century Gothic" w:eastAsia="Century Gothic" w:hAnsi="Century Gothic" w:cs="Century Gothic"/>
          <w:b/>
        </w:rPr>
      </w:pPr>
    </w:p>
    <w:p w14:paraId="21BDE03E" w14:textId="727A5865" w:rsidR="005A5EA6" w:rsidRPr="005A5EA6" w:rsidRDefault="008A5C51" w:rsidP="00C57321">
      <w:pPr>
        <w:spacing w:line="240" w:lineRule="auto"/>
        <w:ind w:firstLine="2268"/>
        <w:jc w:val="both"/>
        <w:rPr>
          <w:rFonts w:ascii="Century Gothic" w:eastAsia="Century Gothic" w:hAnsi="Century Gothic" w:cs="Century Gothic"/>
        </w:rPr>
      </w:pPr>
      <w:r>
        <w:rPr>
          <w:rFonts w:ascii="Century Gothic" w:eastAsia="Century Gothic" w:hAnsi="Century Gothic" w:cs="Century Gothic"/>
        </w:rPr>
        <w:t xml:space="preserve">Trata-se de impugnação formalizada pela empresa </w:t>
      </w:r>
      <w:proofErr w:type="spellStart"/>
      <w:r w:rsidR="00BC4701" w:rsidRPr="00BC4701">
        <w:rPr>
          <w:rFonts w:ascii="Century Gothic" w:eastAsia="Century Gothic" w:hAnsi="Century Gothic" w:cs="Century Gothic"/>
        </w:rPr>
        <w:t>Tectoner</w:t>
      </w:r>
      <w:proofErr w:type="spellEnd"/>
      <w:r w:rsidR="00BC4701" w:rsidRPr="00BC4701">
        <w:rPr>
          <w:rFonts w:ascii="Century Gothic" w:eastAsia="Century Gothic" w:hAnsi="Century Gothic" w:cs="Century Gothic"/>
        </w:rPr>
        <w:t xml:space="preserve"> Recarga de Toner </w:t>
      </w:r>
      <w:proofErr w:type="spellStart"/>
      <w:r w:rsidR="00BC4701" w:rsidRPr="00BC4701">
        <w:rPr>
          <w:rFonts w:ascii="Century Gothic" w:eastAsia="Century Gothic" w:hAnsi="Century Gothic" w:cs="Century Gothic"/>
        </w:rPr>
        <w:t>Ltda</w:t>
      </w:r>
      <w:proofErr w:type="spellEnd"/>
      <w:r w:rsidR="00BC4701" w:rsidRPr="00BC4701">
        <w:rPr>
          <w:rFonts w:ascii="Century Gothic" w:eastAsia="Century Gothic" w:hAnsi="Century Gothic" w:cs="Century Gothic"/>
        </w:rPr>
        <w:t>, Pessoa Jurídica d</w:t>
      </w:r>
      <w:r w:rsidR="005A5EA6">
        <w:rPr>
          <w:rFonts w:ascii="Century Gothic" w:eastAsia="Century Gothic" w:hAnsi="Century Gothic" w:cs="Century Gothic"/>
        </w:rPr>
        <w:t>e Direito Privado, devidamente in</w:t>
      </w:r>
      <w:r w:rsidR="00BC4701" w:rsidRPr="00BC4701">
        <w:rPr>
          <w:rFonts w:ascii="Century Gothic" w:eastAsia="Century Gothic" w:hAnsi="Century Gothic" w:cs="Century Gothic"/>
        </w:rPr>
        <w:t>scrita no CNPJ/MF sob nº 0</w:t>
      </w:r>
      <w:r w:rsidR="00BC4701">
        <w:rPr>
          <w:rFonts w:ascii="Century Gothic" w:eastAsia="Century Gothic" w:hAnsi="Century Gothic" w:cs="Century Gothic"/>
        </w:rPr>
        <w:t>1.027.088/0001-06, com sede na R</w:t>
      </w:r>
      <w:r w:rsidR="00BC4701" w:rsidRPr="00BC4701">
        <w:rPr>
          <w:rFonts w:ascii="Century Gothic" w:eastAsia="Century Gothic" w:hAnsi="Century Gothic" w:cs="Century Gothic"/>
        </w:rPr>
        <w:t xml:space="preserve">ua </w:t>
      </w:r>
      <w:proofErr w:type="spellStart"/>
      <w:r w:rsidR="00BC4701" w:rsidRPr="00BC4701">
        <w:rPr>
          <w:rFonts w:ascii="Century Gothic" w:eastAsia="Century Gothic" w:hAnsi="Century Gothic" w:cs="Century Gothic"/>
        </w:rPr>
        <w:t>Neo</w:t>
      </w:r>
      <w:proofErr w:type="spellEnd"/>
      <w:r w:rsidR="00BC4701" w:rsidRPr="00BC4701">
        <w:rPr>
          <w:rFonts w:ascii="Century Gothic" w:eastAsia="Century Gothic" w:hAnsi="Century Gothic" w:cs="Century Gothic"/>
        </w:rPr>
        <w:t xml:space="preserve"> Alves Mart</w:t>
      </w:r>
      <w:r w:rsidR="00BC4701">
        <w:rPr>
          <w:rFonts w:ascii="Century Gothic" w:eastAsia="Century Gothic" w:hAnsi="Century Gothic" w:cs="Century Gothic"/>
        </w:rPr>
        <w:t>ins, 274, Zona 03, Maringá – PR</w:t>
      </w:r>
      <w:r w:rsidR="005A5EA6">
        <w:rPr>
          <w:rFonts w:ascii="Century Gothic" w:eastAsia="Century Gothic" w:hAnsi="Century Gothic" w:cs="Century Gothic"/>
        </w:rPr>
        <w:t>.</w:t>
      </w:r>
    </w:p>
    <w:p w14:paraId="0FE95843" w14:textId="666440BB" w:rsidR="00610D5F" w:rsidRDefault="00610D5F" w:rsidP="00C57321">
      <w:pPr>
        <w:spacing w:before="240" w:line="240" w:lineRule="auto"/>
        <w:jc w:val="both"/>
        <w:rPr>
          <w:rFonts w:ascii="Century Gothic" w:eastAsia="Century Gothic" w:hAnsi="Century Gothic" w:cs="Century Gothic"/>
          <w:b/>
          <w:bCs/>
        </w:rPr>
      </w:pPr>
      <w:r>
        <w:rPr>
          <w:rFonts w:ascii="Century Gothic" w:eastAsia="Century Gothic" w:hAnsi="Century Gothic" w:cs="Century Gothic"/>
          <w:b/>
          <w:bCs/>
        </w:rPr>
        <w:t>1.</w:t>
      </w:r>
      <w:r w:rsidRPr="00610D5F">
        <w:rPr>
          <w:rFonts w:ascii="Century Gothic" w:eastAsia="Century Gothic" w:hAnsi="Century Gothic" w:cs="Century Gothic"/>
          <w:b/>
          <w:bCs/>
        </w:rPr>
        <w:t xml:space="preserve"> DA ADMISSIBILIDADE DO PEDIDO </w:t>
      </w:r>
    </w:p>
    <w:p w14:paraId="0000000F" w14:textId="6B55EB68" w:rsidR="00B51DEB" w:rsidRDefault="008A5C51" w:rsidP="00C57321">
      <w:pPr>
        <w:spacing w:before="240" w:line="240" w:lineRule="auto"/>
        <w:jc w:val="both"/>
        <w:rPr>
          <w:rFonts w:ascii="Century Gothic" w:eastAsia="Century Gothic" w:hAnsi="Century Gothic" w:cs="Century Gothic"/>
        </w:rPr>
      </w:pPr>
      <w:r>
        <w:rPr>
          <w:rFonts w:ascii="Century Gothic" w:eastAsia="Century Gothic" w:hAnsi="Century Gothic" w:cs="Century Gothic"/>
        </w:rPr>
        <w:t xml:space="preserve">Nos termos do item </w:t>
      </w:r>
      <w:proofErr w:type="gramStart"/>
      <w:r w:rsidR="00610D5F">
        <w:rPr>
          <w:rFonts w:ascii="Century Gothic" w:eastAsia="Century Gothic" w:hAnsi="Century Gothic" w:cs="Century Gothic"/>
        </w:rPr>
        <w:t>6</w:t>
      </w:r>
      <w:proofErr w:type="gramEnd"/>
      <w:r w:rsidR="00610D5F">
        <w:rPr>
          <w:rFonts w:ascii="Century Gothic" w:eastAsia="Century Gothic" w:hAnsi="Century Gothic" w:cs="Century Gothic"/>
        </w:rPr>
        <w:t>, subitem 6</w:t>
      </w:r>
      <w:r>
        <w:rPr>
          <w:rFonts w:ascii="Century Gothic" w:eastAsia="Century Gothic" w:hAnsi="Century Gothic" w:cs="Century Gothic"/>
        </w:rPr>
        <w:t xml:space="preserve">.1. do referido edital “Qualquer pessoa é parte legítima para impugnar este Edital por irregularidade na aplicação da Lei nº 14.133, de 2021, devendo protocolar o pedido </w:t>
      </w:r>
      <w:r>
        <w:rPr>
          <w:rFonts w:ascii="Century Gothic" w:eastAsia="Century Gothic" w:hAnsi="Century Gothic" w:cs="Century Gothic"/>
          <w:b/>
          <w:u w:val="single"/>
        </w:rPr>
        <w:t>até 3 (três) dias úteis</w:t>
      </w:r>
      <w:r>
        <w:rPr>
          <w:rFonts w:ascii="Century Gothic" w:eastAsia="Century Gothic" w:hAnsi="Century Gothic" w:cs="Century Gothic"/>
        </w:rPr>
        <w:t xml:space="preserve"> antes da data da abertura do certame (art. 164) e INSTRUÇÃO NORMATIVA SEGES/ME Nº 73, DE 30 DE SETEMBRO DE 2022, art. 16:</w:t>
      </w:r>
    </w:p>
    <w:p w14:paraId="00000010" w14:textId="77777777" w:rsidR="00B51DEB" w:rsidRDefault="008A5C51" w:rsidP="00C57321">
      <w:pPr>
        <w:spacing w:before="240" w:after="240" w:line="240" w:lineRule="auto"/>
        <w:ind w:left="2267"/>
        <w:jc w:val="both"/>
        <w:rPr>
          <w:rFonts w:ascii="Century Gothic" w:eastAsia="Century Gothic" w:hAnsi="Century Gothic" w:cs="Century Gothic"/>
          <w:i/>
          <w:sz w:val="20"/>
          <w:szCs w:val="20"/>
        </w:rPr>
      </w:pPr>
      <w:r>
        <w:rPr>
          <w:rFonts w:ascii="Century Gothic" w:eastAsia="Century Gothic" w:hAnsi="Century Gothic" w:cs="Century Gothic"/>
          <w:i/>
          <w:sz w:val="20"/>
          <w:szCs w:val="20"/>
        </w:rPr>
        <w:t>Art. 16. Qualquer pessoa é parte legítima para impugnar edital de licitação por irregularidade ou para solicitar esclarecimento sobre os seus termos, devendo encaminhar o pedido até 3 (três) dias úteis antes da data de abertura da sessão pública, por meio eletrônico, na forma prevista no edital de licitação.</w:t>
      </w:r>
    </w:p>
    <w:p w14:paraId="00000011" w14:textId="0E075F75" w:rsidR="00B51DEB" w:rsidRDefault="00610D5F" w:rsidP="00C57321">
      <w:pPr>
        <w:spacing w:line="240" w:lineRule="auto"/>
        <w:jc w:val="both"/>
        <w:rPr>
          <w:rFonts w:ascii="Century Gothic" w:eastAsia="Century Gothic" w:hAnsi="Century Gothic" w:cs="Century Gothic"/>
        </w:rPr>
      </w:pPr>
      <w:r>
        <w:rPr>
          <w:rFonts w:ascii="Century Gothic" w:eastAsia="Century Gothic" w:hAnsi="Century Gothic" w:cs="Century Gothic"/>
          <w:b/>
          <w:bCs/>
        </w:rPr>
        <w:t>1.1.</w:t>
      </w:r>
      <w:r>
        <w:rPr>
          <w:rFonts w:ascii="Century Gothic" w:eastAsia="Century Gothic" w:hAnsi="Century Gothic" w:cs="Century Gothic"/>
        </w:rPr>
        <w:t xml:space="preserve"> Definiu-se em edital: o último dia útil </w:t>
      </w:r>
      <w:r w:rsidRPr="006D45E5">
        <w:rPr>
          <w:rFonts w:ascii="Century Gothic" w:eastAsia="Century Gothic" w:hAnsi="Century Gothic" w:cs="Century Gothic"/>
          <w:b/>
        </w:rPr>
        <w:t>24/03/2025 até às 00h00</w:t>
      </w:r>
      <w:r w:rsidR="008A5C51" w:rsidRPr="006D45E5">
        <w:rPr>
          <w:rFonts w:ascii="Century Gothic" w:eastAsia="Century Gothic" w:hAnsi="Century Gothic" w:cs="Century Gothic"/>
          <w:b/>
        </w:rPr>
        <w:t>min</w:t>
      </w:r>
      <w:r w:rsidR="008A5C51">
        <w:rPr>
          <w:rFonts w:ascii="Century Gothic" w:eastAsia="Century Gothic" w:hAnsi="Century Gothic" w:cs="Century Gothic"/>
        </w:rPr>
        <w:t xml:space="preserve">. </w:t>
      </w:r>
      <w:proofErr w:type="gramStart"/>
      <w:r>
        <w:rPr>
          <w:rFonts w:ascii="Century Gothic" w:eastAsia="Century Gothic" w:hAnsi="Century Gothic" w:cs="Century Gothic"/>
        </w:rPr>
        <w:t>Destarte, n</w:t>
      </w:r>
      <w:r w:rsidR="008A5C51">
        <w:rPr>
          <w:rFonts w:ascii="Century Gothic" w:eastAsia="Century Gothic" w:hAnsi="Century Gothic" w:cs="Century Gothic"/>
        </w:rPr>
        <w:t xml:space="preserve">este período, qualquer pessoa poderá solicitar esclarecimentos, providências ou </w:t>
      </w:r>
      <w:r w:rsidR="008A5C51" w:rsidRPr="006D45E5">
        <w:rPr>
          <w:rFonts w:ascii="Century Gothic" w:eastAsia="Century Gothic" w:hAnsi="Century Gothic" w:cs="Century Gothic"/>
        </w:rPr>
        <w:t>impugnar o ato convocatório do pregão”</w:t>
      </w:r>
      <w:proofErr w:type="gramEnd"/>
      <w:r w:rsidR="008A5C51" w:rsidRPr="006D45E5">
        <w:rPr>
          <w:rFonts w:ascii="Century Gothic" w:eastAsia="Century Gothic" w:hAnsi="Century Gothic" w:cs="Century Gothic"/>
        </w:rPr>
        <w:t>.</w:t>
      </w:r>
    </w:p>
    <w:p w14:paraId="00000012" w14:textId="625EE895" w:rsidR="00B51DEB" w:rsidRDefault="006D45E5" w:rsidP="00C57321">
      <w:pPr>
        <w:spacing w:before="240" w:line="240" w:lineRule="auto"/>
        <w:jc w:val="both"/>
        <w:rPr>
          <w:rFonts w:ascii="Century Gothic" w:eastAsia="Century Gothic" w:hAnsi="Century Gothic" w:cs="Century Gothic"/>
          <w:sz w:val="24"/>
          <w:szCs w:val="24"/>
          <w:highlight w:val="white"/>
        </w:rPr>
      </w:pPr>
      <w:r>
        <w:rPr>
          <w:rFonts w:ascii="Century Gothic" w:eastAsia="Century Gothic" w:hAnsi="Century Gothic" w:cs="Century Gothic"/>
          <w:b/>
          <w:bCs/>
        </w:rPr>
        <w:t xml:space="preserve">1.2. </w:t>
      </w:r>
      <w:r w:rsidR="008A5C51">
        <w:rPr>
          <w:rFonts w:ascii="Century Gothic" w:eastAsia="Century Gothic" w:hAnsi="Century Gothic" w:cs="Century Gothic"/>
        </w:rPr>
        <w:t xml:space="preserve"> Dito isso, a presente peça foi encaminhada a esta pregoeira </w:t>
      </w:r>
      <w:r w:rsidR="008A5C51">
        <w:rPr>
          <w:rFonts w:ascii="Century Gothic" w:eastAsia="Century Gothic" w:hAnsi="Century Gothic" w:cs="Century Gothic"/>
          <w:sz w:val="24"/>
          <w:szCs w:val="24"/>
          <w:highlight w:val="white"/>
        </w:rPr>
        <w:t xml:space="preserve">pela plataforma no </w:t>
      </w:r>
      <w:r w:rsidR="008A5C51" w:rsidRPr="00844B18">
        <w:rPr>
          <w:rFonts w:ascii="Century Gothic" w:eastAsia="Century Gothic" w:hAnsi="Century Gothic" w:cs="Century Gothic"/>
          <w:sz w:val="24"/>
          <w:szCs w:val="24"/>
        </w:rPr>
        <w:t>dia</w:t>
      </w:r>
      <w:r w:rsidR="008A5C51" w:rsidRPr="00844B18">
        <w:rPr>
          <w:rFonts w:ascii="Century Gothic" w:eastAsia="Century Gothic" w:hAnsi="Century Gothic" w:cs="Century Gothic"/>
          <w:color w:val="FF0000"/>
          <w:sz w:val="24"/>
          <w:szCs w:val="24"/>
        </w:rPr>
        <w:t xml:space="preserve"> </w:t>
      </w:r>
      <w:r>
        <w:rPr>
          <w:rFonts w:ascii="Century Gothic" w:eastAsia="Century Gothic" w:hAnsi="Century Gothic" w:cs="Century Gothic"/>
          <w:sz w:val="24"/>
          <w:szCs w:val="24"/>
        </w:rPr>
        <w:t>18</w:t>
      </w:r>
      <w:r w:rsidR="008A5C51" w:rsidRPr="00844B18">
        <w:rPr>
          <w:rFonts w:ascii="Century Gothic" w:eastAsia="Century Gothic" w:hAnsi="Century Gothic" w:cs="Century Gothic"/>
          <w:sz w:val="24"/>
          <w:szCs w:val="24"/>
        </w:rPr>
        <w:t>/0</w:t>
      </w:r>
      <w:r>
        <w:rPr>
          <w:rFonts w:ascii="Century Gothic" w:eastAsia="Century Gothic" w:hAnsi="Century Gothic" w:cs="Century Gothic"/>
          <w:sz w:val="24"/>
          <w:szCs w:val="24"/>
        </w:rPr>
        <w:t>3/2025</w:t>
      </w:r>
      <w:r w:rsidR="008A5C51" w:rsidRPr="00844B18">
        <w:rPr>
          <w:rFonts w:ascii="Century Gothic" w:eastAsia="Century Gothic" w:hAnsi="Century Gothic" w:cs="Century Gothic"/>
          <w:sz w:val="24"/>
          <w:szCs w:val="24"/>
        </w:rPr>
        <w:t xml:space="preserve"> às </w:t>
      </w:r>
      <w:r>
        <w:rPr>
          <w:rFonts w:ascii="Century Gothic" w:eastAsia="Century Gothic" w:hAnsi="Century Gothic" w:cs="Century Gothic"/>
          <w:sz w:val="24"/>
          <w:szCs w:val="24"/>
        </w:rPr>
        <w:t>08h50min. Estando</w:t>
      </w:r>
      <w:r w:rsidR="009F3BA5">
        <w:rPr>
          <w:rFonts w:ascii="Century Gothic" w:eastAsia="Century Gothic" w:hAnsi="Century Gothic" w:cs="Century Gothic"/>
          <w:sz w:val="24"/>
          <w:szCs w:val="24"/>
        </w:rPr>
        <w:t>, portanto</w:t>
      </w:r>
      <w:r>
        <w:rPr>
          <w:rFonts w:ascii="Century Gothic" w:eastAsia="Century Gothic" w:hAnsi="Century Gothic" w:cs="Century Gothic"/>
          <w:sz w:val="24"/>
          <w:szCs w:val="24"/>
        </w:rPr>
        <w:t>, tempestiva.</w:t>
      </w:r>
    </w:p>
    <w:p w14:paraId="00000017" w14:textId="26CBD7A3" w:rsidR="00B51DEB" w:rsidRDefault="006D45E5" w:rsidP="00C57321">
      <w:pPr>
        <w:spacing w:before="240" w:line="240" w:lineRule="auto"/>
        <w:jc w:val="both"/>
        <w:rPr>
          <w:rFonts w:ascii="Century Gothic" w:eastAsia="Century Gothic" w:hAnsi="Century Gothic" w:cs="Century Gothic"/>
          <w:sz w:val="24"/>
          <w:szCs w:val="24"/>
          <w:highlight w:val="white"/>
        </w:rPr>
      </w:pPr>
      <w:r>
        <w:rPr>
          <w:rFonts w:ascii="Century Gothic" w:eastAsia="Century Gothic" w:hAnsi="Century Gothic" w:cs="Century Gothic"/>
          <w:b/>
          <w:bCs/>
        </w:rPr>
        <w:t>1.3.</w:t>
      </w:r>
      <w:r w:rsidR="007E5E4C">
        <w:rPr>
          <w:rFonts w:ascii="Century Gothic" w:eastAsia="Century Gothic" w:hAnsi="Century Gothic" w:cs="Century Gothic"/>
        </w:rPr>
        <w:t xml:space="preserve"> </w:t>
      </w:r>
      <w:r w:rsidR="008A5C51">
        <w:rPr>
          <w:rFonts w:ascii="Century Gothic" w:eastAsia="Century Gothic" w:hAnsi="Century Gothic" w:cs="Century Gothic"/>
          <w:sz w:val="24"/>
          <w:szCs w:val="24"/>
          <w:highlight w:val="white"/>
        </w:rPr>
        <w:t xml:space="preserve">Diante da tempestividade da peça, </w:t>
      </w:r>
      <w:proofErr w:type="gramStart"/>
      <w:r w:rsidR="008A5C51">
        <w:rPr>
          <w:rFonts w:ascii="Century Gothic" w:eastAsia="Century Gothic" w:hAnsi="Century Gothic" w:cs="Century Gothic"/>
          <w:sz w:val="24"/>
          <w:szCs w:val="24"/>
          <w:highlight w:val="white"/>
        </w:rPr>
        <w:t xml:space="preserve">esta PREGOEIRA e Comissão de Contratação, </w:t>
      </w:r>
      <w:r w:rsidR="008A5C51">
        <w:rPr>
          <w:rFonts w:ascii="Century Gothic" w:eastAsia="Century Gothic" w:hAnsi="Century Gothic" w:cs="Century Gothic"/>
          <w:b/>
          <w:sz w:val="24"/>
          <w:szCs w:val="24"/>
          <w:highlight w:val="white"/>
        </w:rPr>
        <w:t>decide</w:t>
      </w:r>
      <w:proofErr w:type="gramEnd"/>
      <w:r w:rsidR="008A5C51">
        <w:rPr>
          <w:rFonts w:ascii="Century Gothic" w:eastAsia="Century Gothic" w:hAnsi="Century Gothic" w:cs="Century Gothic"/>
          <w:sz w:val="24"/>
          <w:szCs w:val="24"/>
          <w:highlight w:val="white"/>
        </w:rPr>
        <w:t xml:space="preserve"> por analisar as questões pertinentes, em atenção ao Princípio da Autotutela e manutenção da legalidade do presente processo licitatório.</w:t>
      </w:r>
    </w:p>
    <w:p w14:paraId="00000018" w14:textId="0CDA1E5F" w:rsidR="00B51DEB" w:rsidRDefault="00D87DD4" w:rsidP="00C57321">
      <w:pPr>
        <w:spacing w:before="240" w:line="240" w:lineRule="auto"/>
        <w:jc w:val="both"/>
        <w:rPr>
          <w:rFonts w:ascii="Century Gothic" w:eastAsia="Century Gothic" w:hAnsi="Century Gothic" w:cs="Century Gothic"/>
          <w:b/>
        </w:rPr>
      </w:pPr>
      <w:r>
        <w:rPr>
          <w:rFonts w:ascii="Century Gothic" w:eastAsia="Century Gothic" w:hAnsi="Century Gothic" w:cs="Century Gothic"/>
          <w:b/>
        </w:rPr>
        <w:lastRenderedPageBreak/>
        <w:t xml:space="preserve">2. </w:t>
      </w:r>
      <w:r w:rsidR="007E5E4C">
        <w:rPr>
          <w:rFonts w:ascii="Century Gothic" w:eastAsia="Century Gothic" w:hAnsi="Century Gothic" w:cs="Century Gothic"/>
          <w:b/>
        </w:rPr>
        <w:t xml:space="preserve"> </w:t>
      </w:r>
      <w:r w:rsidR="008A5C51">
        <w:rPr>
          <w:rFonts w:ascii="Century Gothic" w:eastAsia="Century Gothic" w:hAnsi="Century Gothic" w:cs="Century Gothic"/>
          <w:b/>
        </w:rPr>
        <w:t>DOS FATOS E PEDIDOS:</w:t>
      </w:r>
    </w:p>
    <w:p w14:paraId="00000019" w14:textId="10F047F1" w:rsidR="00B51DEB" w:rsidRDefault="00D87DD4" w:rsidP="00C57321">
      <w:pPr>
        <w:spacing w:before="240" w:line="240" w:lineRule="auto"/>
        <w:jc w:val="both"/>
        <w:rPr>
          <w:rFonts w:ascii="Century Gothic" w:eastAsia="Century Gothic" w:hAnsi="Century Gothic" w:cs="Century Gothic"/>
          <w:b/>
        </w:rPr>
      </w:pPr>
      <w:r>
        <w:rPr>
          <w:rFonts w:ascii="Century Gothic" w:eastAsia="Century Gothic" w:hAnsi="Century Gothic" w:cs="Century Gothic"/>
          <w:b/>
          <w:bCs/>
        </w:rPr>
        <w:t>2.1.</w:t>
      </w:r>
      <w:r w:rsidR="008A5C51">
        <w:rPr>
          <w:rFonts w:ascii="Century Gothic" w:eastAsia="Century Gothic" w:hAnsi="Century Gothic" w:cs="Century Gothic"/>
        </w:rPr>
        <w:t xml:space="preserve"> A </w:t>
      </w:r>
      <w:r w:rsidR="007E5E4C">
        <w:rPr>
          <w:rFonts w:ascii="Century Gothic" w:eastAsia="Century Gothic" w:hAnsi="Century Gothic" w:cs="Century Gothic"/>
        </w:rPr>
        <w:t xml:space="preserve">impugnante </w:t>
      </w:r>
      <w:r>
        <w:rPr>
          <w:rFonts w:ascii="Century Gothic" w:eastAsia="Century Gothic" w:hAnsi="Century Gothic" w:cs="Century Gothic"/>
          <w:b/>
        </w:rPr>
        <w:t xml:space="preserve">traz apontamentos quanto à </w:t>
      </w:r>
      <w:r w:rsidRPr="0074101C">
        <w:rPr>
          <w:rFonts w:ascii="Century Gothic" w:eastAsia="Century Gothic" w:hAnsi="Century Gothic" w:cs="Century Gothic"/>
          <w:b/>
          <w:u w:val="single"/>
        </w:rPr>
        <w:t xml:space="preserve">ausência de exigência </w:t>
      </w:r>
      <w:r w:rsidR="00C57321">
        <w:rPr>
          <w:rFonts w:ascii="Century Gothic" w:eastAsia="Century Gothic" w:hAnsi="Century Gothic" w:cs="Century Gothic"/>
          <w:b/>
          <w:u w:val="single"/>
        </w:rPr>
        <w:t>de</w:t>
      </w:r>
      <w:r w:rsidR="002756B0" w:rsidRPr="0074101C">
        <w:rPr>
          <w:rFonts w:ascii="Century Gothic" w:eastAsia="Century Gothic" w:hAnsi="Century Gothic" w:cs="Century Gothic"/>
          <w:b/>
          <w:u w:val="single"/>
        </w:rPr>
        <w:t xml:space="preserve"> documentos</w:t>
      </w:r>
      <w:r w:rsidR="002756B0">
        <w:rPr>
          <w:rFonts w:ascii="Century Gothic" w:eastAsia="Century Gothic" w:hAnsi="Century Gothic" w:cs="Century Gothic"/>
          <w:b/>
        </w:rPr>
        <w:t xml:space="preserve"> no </w:t>
      </w:r>
      <w:r w:rsidR="009800FB">
        <w:rPr>
          <w:rFonts w:ascii="Century Gothic" w:eastAsia="Century Gothic" w:hAnsi="Century Gothic" w:cs="Century Gothic"/>
          <w:b/>
        </w:rPr>
        <w:t xml:space="preserve">Edital de Convocação Pregão </w:t>
      </w:r>
      <w:proofErr w:type="gramStart"/>
      <w:r w:rsidR="009800FB">
        <w:rPr>
          <w:rFonts w:ascii="Century Gothic" w:eastAsia="Century Gothic" w:hAnsi="Century Gothic" w:cs="Century Gothic"/>
          <w:b/>
        </w:rPr>
        <w:t>Eletrônico</w:t>
      </w:r>
      <w:proofErr w:type="gramEnd"/>
      <w:r w:rsidR="009800FB">
        <w:rPr>
          <w:rFonts w:ascii="Century Gothic" w:eastAsia="Century Gothic" w:hAnsi="Century Gothic" w:cs="Century Gothic"/>
          <w:b/>
        </w:rPr>
        <w:t xml:space="preserve"> nº 07/2025,</w:t>
      </w:r>
      <w:r w:rsidR="008A5C51">
        <w:rPr>
          <w:rFonts w:ascii="Century Gothic" w:eastAsia="Century Gothic" w:hAnsi="Century Gothic" w:cs="Century Gothic"/>
          <w:b/>
        </w:rPr>
        <w:t xml:space="preserve"> senão, VEJAMOS</w:t>
      </w:r>
      <w:r w:rsidR="009800FB">
        <w:rPr>
          <w:rFonts w:ascii="Century Gothic" w:eastAsia="Century Gothic" w:hAnsi="Century Gothic" w:cs="Century Gothic"/>
          <w:b/>
        </w:rPr>
        <w:t xml:space="preserve">, </w:t>
      </w:r>
      <w:r w:rsidR="009800FB" w:rsidRPr="009800FB">
        <w:rPr>
          <w:rFonts w:ascii="Century Gothic" w:eastAsia="Century Gothic" w:hAnsi="Century Gothic" w:cs="Century Gothic"/>
          <w:i/>
        </w:rPr>
        <w:t xml:space="preserve">in </w:t>
      </w:r>
      <w:proofErr w:type="spellStart"/>
      <w:r w:rsidR="009800FB" w:rsidRPr="009800FB">
        <w:rPr>
          <w:rFonts w:ascii="Century Gothic" w:eastAsia="Century Gothic" w:hAnsi="Century Gothic" w:cs="Century Gothic"/>
          <w:i/>
        </w:rPr>
        <w:t>verbis</w:t>
      </w:r>
      <w:proofErr w:type="spellEnd"/>
      <w:r w:rsidR="008A5C51">
        <w:rPr>
          <w:rFonts w:ascii="Century Gothic" w:eastAsia="Century Gothic" w:hAnsi="Century Gothic" w:cs="Century Gothic"/>
          <w:b/>
        </w:rPr>
        <w:t>:</w:t>
      </w:r>
    </w:p>
    <w:p w14:paraId="73788F62" w14:textId="77777777" w:rsidR="009800FB" w:rsidRPr="009800FB" w:rsidRDefault="009800FB" w:rsidP="00C57321">
      <w:pPr>
        <w:autoSpaceDE w:val="0"/>
        <w:autoSpaceDN w:val="0"/>
        <w:adjustRightInd w:val="0"/>
        <w:spacing w:line="240" w:lineRule="auto"/>
        <w:ind w:left="2268"/>
        <w:jc w:val="both"/>
        <w:rPr>
          <w:rFonts w:ascii="Century Gothic" w:eastAsia="Century Gothic" w:hAnsi="Century Gothic" w:cs="Century Gothic"/>
          <w:i/>
          <w:sz w:val="18"/>
          <w:szCs w:val="18"/>
        </w:rPr>
      </w:pPr>
      <w:r w:rsidRPr="009800FB">
        <w:rPr>
          <w:rFonts w:ascii="Century Gothic" w:eastAsia="Century Gothic" w:hAnsi="Century Gothic" w:cs="Century Gothic"/>
          <w:i/>
          <w:sz w:val="18"/>
          <w:szCs w:val="18"/>
        </w:rPr>
        <w:t>(...)</w:t>
      </w:r>
    </w:p>
    <w:p w14:paraId="59B1E59F" w14:textId="7A0E35ED" w:rsidR="009800FB" w:rsidRPr="009800FB" w:rsidRDefault="009800FB" w:rsidP="00C57321">
      <w:pPr>
        <w:autoSpaceDE w:val="0"/>
        <w:autoSpaceDN w:val="0"/>
        <w:adjustRightInd w:val="0"/>
        <w:spacing w:line="240" w:lineRule="auto"/>
        <w:ind w:left="2268"/>
        <w:jc w:val="both"/>
        <w:rPr>
          <w:rFonts w:ascii="Century Gothic" w:hAnsi="Century Gothic" w:cs="ArialNarrow"/>
          <w:i/>
          <w:sz w:val="18"/>
          <w:szCs w:val="18"/>
        </w:rPr>
      </w:pPr>
      <w:r w:rsidRPr="009800FB">
        <w:rPr>
          <w:rFonts w:ascii="Century Gothic" w:hAnsi="Century Gothic" w:cs="ArialNarrow"/>
          <w:i/>
          <w:sz w:val="18"/>
          <w:szCs w:val="18"/>
        </w:rPr>
        <w:t>Existe decisão do Tribunal de Contas da União – Cartilhas e Manuais: Licitações e Contratos – Orientações Básicas – 3º Edição – Revista, atualizada e ampliada em sua página 84, instrui a definição de ORIGINAIS são produzidos ou pelo fabricante da impressora ou por outro fabricante que produz cartuchos de impressão embora não fabrique impressoras, onde trazem estampa a marca desse fabricante e tem qualidade assegurada por seu próprio fabricante.</w:t>
      </w:r>
    </w:p>
    <w:p w14:paraId="18C2DEE7" w14:textId="77777777" w:rsidR="009800FB" w:rsidRPr="009800FB" w:rsidRDefault="009800FB" w:rsidP="00C57321">
      <w:pPr>
        <w:autoSpaceDE w:val="0"/>
        <w:autoSpaceDN w:val="0"/>
        <w:adjustRightInd w:val="0"/>
        <w:spacing w:line="240" w:lineRule="auto"/>
        <w:ind w:left="2268"/>
        <w:jc w:val="both"/>
        <w:rPr>
          <w:rFonts w:ascii="Century Gothic" w:hAnsi="Century Gothic" w:cs="ArialNarrow"/>
          <w:i/>
          <w:sz w:val="18"/>
          <w:szCs w:val="18"/>
        </w:rPr>
      </w:pPr>
      <w:r w:rsidRPr="009800FB">
        <w:rPr>
          <w:rFonts w:ascii="Century Gothic" w:hAnsi="Century Gothic" w:cs="ArialNarrow"/>
          <w:i/>
          <w:sz w:val="18"/>
          <w:szCs w:val="18"/>
        </w:rPr>
        <w:t>Vejamos que é a mesma definição cartuchos (ORIGINAIS) a Decisão do TCU 1622/2002 como segue:</w:t>
      </w:r>
    </w:p>
    <w:p w14:paraId="06EE0B1B" w14:textId="77777777" w:rsidR="009800FB" w:rsidRPr="009800FB" w:rsidRDefault="009800FB" w:rsidP="00C57321">
      <w:pPr>
        <w:autoSpaceDE w:val="0"/>
        <w:autoSpaceDN w:val="0"/>
        <w:adjustRightInd w:val="0"/>
        <w:spacing w:line="240" w:lineRule="auto"/>
        <w:ind w:left="2268"/>
        <w:jc w:val="both"/>
        <w:rPr>
          <w:rFonts w:ascii="Century Gothic" w:hAnsi="Century Gothic" w:cs="ArialNarrow-Bold"/>
          <w:b/>
          <w:bCs/>
          <w:i/>
          <w:sz w:val="18"/>
          <w:szCs w:val="18"/>
        </w:rPr>
      </w:pPr>
      <w:r w:rsidRPr="009800FB">
        <w:rPr>
          <w:rFonts w:ascii="Century Gothic" w:hAnsi="Century Gothic" w:cs="ArialNarrow-Bold"/>
          <w:b/>
          <w:bCs/>
          <w:i/>
          <w:sz w:val="18"/>
          <w:szCs w:val="18"/>
        </w:rPr>
        <w:t>Diferencio a seguir os cartuchos por suas propriedades:</w:t>
      </w:r>
    </w:p>
    <w:p w14:paraId="69BF5DE6" w14:textId="0A1B8F8B" w:rsidR="009800FB" w:rsidRPr="009800FB" w:rsidRDefault="009800FB" w:rsidP="00C57321">
      <w:pPr>
        <w:autoSpaceDE w:val="0"/>
        <w:autoSpaceDN w:val="0"/>
        <w:adjustRightInd w:val="0"/>
        <w:spacing w:line="240" w:lineRule="auto"/>
        <w:ind w:left="2268"/>
        <w:jc w:val="both"/>
        <w:rPr>
          <w:rFonts w:ascii="Century Gothic" w:hAnsi="Century Gothic" w:cs="ArialNarrow"/>
          <w:i/>
          <w:sz w:val="18"/>
          <w:szCs w:val="18"/>
        </w:rPr>
      </w:pPr>
      <w:r w:rsidRPr="009800FB">
        <w:rPr>
          <w:rFonts w:ascii="Century Gothic" w:hAnsi="Century Gothic" w:cs="ArialNarrow-Bold"/>
          <w:b/>
          <w:bCs/>
          <w:i/>
          <w:sz w:val="18"/>
          <w:szCs w:val="18"/>
        </w:rPr>
        <w:t>ORIGINAIS</w:t>
      </w:r>
      <w:r w:rsidRPr="009800FB">
        <w:rPr>
          <w:rFonts w:ascii="Century Gothic" w:hAnsi="Century Gothic" w:cs="ArialNarrow"/>
          <w:i/>
          <w:sz w:val="18"/>
          <w:szCs w:val="18"/>
        </w:rPr>
        <w:t>: são cartuchos produzidos ou pelo fabricante da impressora ou por outro fabricante que produz cartuchos de impressão, embora não fabrique impressoras. Trazem estampada a marca desse fabricante e têm qualidade assegurada por seu próprio fabricante.</w:t>
      </w:r>
    </w:p>
    <w:p w14:paraId="27DCA9CF" w14:textId="27FD6490" w:rsidR="009800FB" w:rsidRPr="009800FB" w:rsidRDefault="009800FB" w:rsidP="00C57321">
      <w:pPr>
        <w:autoSpaceDE w:val="0"/>
        <w:autoSpaceDN w:val="0"/>
        <w:adjustRightInd w:val="0"/>
        <w:spacing w:line="240" w:lineRule="auto"/>
        <w:ind w:left="2268"/>
        <w:jc w:val="both"/>
        <w:rPr>
          <w:rFonts w:ascii="Century Gothic" w:hAnsi="Century Gothic" w:cs="ArialNarrow"/>
          <w:i/>
          <w:sz w:val="18"/>
          <w:szCs w:val="18"/>
        </w:rPr>
      </w:pPr>
      <w:r w:rsidRPr="009800FB">
        <w:rPr>
          <w:rFonts w:ascii="Century Gothic" w:hAnsi="Century Gothic" w:cs="ArialNarrow-Bold"/>
          <w:b/>
          <w:bCs/>
          <w:i/>
          <w:sz w:val="18"/>
          <w:szCs w:val="18"/>
        </w:rPr>
        <w:t>REMANUFATURADOS</w:t>
      </w:r>
      <w:r w:rsidRPr="009800FB">
        <w:rPr>
          <w:rFonts w:ascii="Century Gothic" w:hAnsi="Century Gothic" w:cs="ArialNarrow"/>
          <w:i/>
          <w:sz w:val="18"/>
          <w:szCs w:val="18"/>
        </w:rPr>
        <w:t xml:space="preserve">: são cartuchos recarregados com tinta por empresas de </w:t>
      </w:r>
      <w:proofErr w:type="spellStart"/>
      <w:r w:rsidRPr="009800FB">
        <w:rPr>
          <w:rFonts w:ascii="Century Gothic" w:hAnsi="Century Gothic" w:cs="ArialNarrow"/>
          <w:i/>
          <w:sz w:val="18"/>
          <w:szCs w:val="18"/>
        </w:rPr>
        <w:t>remanufatura</w:t>
      </w:r>
      <w:proofErr w:type="spellEnd"/>
      <w:r w:rsidRPr="009800FB">
        <w:rPr>
          <w:rFonts w:ascii="Century Gothic" w:hAnsi="Century Gothic" w:cs="ArialNarrow"/>
          <w:i/>
          <w:sz w:val="18"/>
          <w:szCs w:val="18"/>
        </w:rPr>
        <w:t xml:space="preserve">, que compram cartuchos originais vazios, fazem uma vistoria para verificar seu estado e os enchem de tinta com máquinas industriais, </w:t>
      </w:r>
      <w:proofErr w:type="spellStart"/>
      <w:r w:rsidRPr="009800FB">
        <w:rPr>
          <w:rFonts w:ascii="Century Gothic" w:hAnsi="Century Gothic" w:cs="ArialNarrow"/>
          <w:i/>
          <w:sz w:val="18"/>
          <w:szCs w:val="18"/>
        </w:rPr>
        <w:t>reetiquetando</w:t>
      </w:r>
      <w:proofErr w:type="spellEnd"/>
      <w:r w:rsidRPr="009800FB">
        <w:rPr>
          <w:rFonts w:ascii="Century Gothic" w:hAnsi="Century Gothic" w:cs="ArialNarrow"/>
          <w:i/>
          <w:sz w:val="18"/>
          <w:szCs w:val="18"/>
        </w:rPr>
        <w:t xml:space="preserve"> o cartucho com a informação de “cartucho </w:t>
      </w:r>
      <w:proofErr w:type="spellStart"/>
      <w:r w:rsidRPr="009800FB">
        <w:rPr>
          <w:rFonts w:ascii="Century Gothic" w:hAnsi="Century Gothic" w:cs="ArialNarrow"/>
          <w:i/>
          <w:sz w:val="18"/>
          <w:szCs w:val="18"/>
        </w:rPr>
        <w:t>remanufaturado</w:t>
      </w:r>
      <w:proofErr w:type="spellEnd"/>
      <w:r w:rsidRPr="009800FB">
        <w:rPr>
          <w:rFonts w:ascii="Century Gothic" w:hAnsi="Century Gothic" w:cs="ArialNarrow"/>
          <w:i/>
          <w:sz w:val="18"/>
          <w:szCs w:val="18"/>
        </w:rPr>
        <w:t>” e fornecendo garantias.</w:t>
      </w:r>
    </w:p>
    <w:p w14:paraId="22EB1A0F" w14:textId="3947967A" w:rsidR="009800FB" w:rsidRPr="009800FB" w:rsidRDefault="009800FB" w:rsidP="00C57321">
      <w:pPr>
        <w:autoSpaceDE w:val="0"/>
        <w:autoSpaceDN w:val="0"/>
        <w:adjustRightInd w:val="0"/>
        <w:spacing w:line="240" w:lineRule="auto"/>
        <w:ind w:left="2268"/>
        <w:jc w:val="both"/>
        <w:rPr>
          <w:rFonts w:ascii="Century Gothic" w:hAnsi="Century Gothic" w:cs="ArialNarrow"/>
          <w:i/>
          <w:sz w:val="18"/>
          <w:szCs w:val="18"/>
        </w:rPr>
      </w:pPr>
      <w:r w:rsidRPr="009800FB">
        <w:rPr>
          <w:rFonts w:ascii="Century Gothic" w:hAnsi="Century Gothic" w:cs="ArialNarrow"/>
          <w:i/>
          <w:sz w:val="18"/>
          <w:szCs w:val="18"/>
        </w:rPr>
        <w:t xml:space="preserve">Como, de maneira geral, os cartuchos para impressão bem como a tinta não são fabricados no Brasil, as empresas de </w:t>
      </w:r>
      <w:proofErr w:type="spellStart"/>
      <w:r w:rsidRPr="009800FB">
        <w:rPr>
          <w:rFonts w:ascii="Century Gothic" w:hAnsi="Century Gothic" w:cs="ArialNarrow"/>
          <w:i/>
          <w:sz w:val="18"/>
          <w:szCs w:val="18"/>
        </w:rPr>
        <w:t>remanufatura</w:t>
      </w:r>
      <w:proofErr w:type="spellEnd"/>
      <w:r w:rsidRPr="009800FB">
        <w:rPr>
          <w:rFonts w:ascii="Century Gothic" w:hAnsi="Century Gothic" w:cs="ArialNarrow"/>
          <w:i/>
          <w:sz w:val="18"/>
          <w:szCs w:val="18"/>
        </w:rPr>
        <w:t xml:space="preserve"> importam as tintas utilizadas. Nesse caso o procedimento é legal, embora a qualidade dependa da empresa e do estado do cartucho.</w:t>
      </w:r>
    </w:p>
    <w:p w14:paraId="5EDC185F" w14:textId="63CE3FC9" w:rsidR="009800FB" w:rsidRPr="009800FB" w:rsidRDefault="009800FB" w:rsidP="00C57321">
      <w:pPr>
        <w:autoSpaceDE w:val="0"/>
        <w:autoSpaceDN w:val="0"/>
        <w:adjustRightInd w:val="0"/>
        <w:spacing w:line="240" w:lineRule="auto"/>
        <w:ind w:left="2268"/>
        <w:jc w:val="both"/>
        <w:rPr>
          <w:rFonts w:ascii="Century Gothic" w:hAnsi="Century Gothic" w:cs="ArialNarrow"/>
          <w:i/>
          <w:sz w:val="18"/>
          <w:szCs w:val="18"/>
        </w:rPr>
      </w:pPr>
      <w:r w:rsidRPr="009800FB">
        <w:rPr>
          <w:rFonts w:ascii="Century Gothic" w:hAnsi="Century Gothic" w:cs="ArialNarrow-Bold"/>
          <w:b/>
          <w:bCs/>
          <w:i/>
          <w:sz w:val="18"/>
          <w:szCs w:val="18"/>
        </w:rPr>
        <w:t>RECICLADOS</w:t>
      </w:r>
      <w:r w:rsidRPr="009800FB">
        <w:rPr>
          <w:rFonts w:ascii="Century Gothic" w:hAnsi="Century Gothic" w:cs="ArialNarrow"/>
          <w:i/>
          <w:sz w:val="18"/>
          <w:szCs w:val="18"/>
        </w:rPr>
        <w:t xml:space="preserve">: são cartuchos recarregados com tinta através de processos artesanais, por pessoas ou empresas que não colocam seu nome no processo, nem tem licença para tal. Normalmente, quem leva os cartuchos para serem reciclados são os próprios </w:t>
      </w:r>
      <w:proofErr w:type="gramStart"/>
      <w:r w:rsidRPr="009800FB">
        <w:rPr>
          <w:rFonts w:ascii="Century Gothic" w:hAnsi="Century Gothic" w:cs="ArialNarrow"/>
          <w:i/>
          <w:sz w:val="18"/>
          <w:szCs w:val="18"/>
        </w:rPr>
        <w:t>usuários.</w:t>
      </w:r>
      <w:proofErr w:type="gramEnd"/>
      <w:r w:rsidRPr="009800FB">
        <w:rPr>
          <w:rFonts w:ascii="Century Gothic" w:hAnsi="Century Gothic" w:cs="ArialNarrow"/>
          <w:i/>
          <w:sz w:val="18"/>
          <w:szCs w:val="18"/>
        </w:rPr>
        <w:t>(...)</w:t>
      </w:r>
    </w:p>
    <w:p w14:paraId="3D3F2C4A" w14:textId="128DE5C6" w:rsidR="0074101C" w:rsidRDefault="009800FB" w:rsidP="00C57321">
      <w:pPr>
        <w:autoSpaceDE w:val="0"/>
        <w:autoSpaceDN w:val="0"/>
        <w:adjustRightInd w:val="0"/>
        <w:spacing w:line="240" w:lineRule="auto"/>
        <w:ind w:left="2268"/>
        <w:jc w:val="both"/>
        <w:rPr>
          <w:rFonts w:ascii="Century Gothic" w:hAnsi="Century Gothic" w:cs="ArialNarrow"/>
          <w:i/>
          <w:sz w:val="18"/>
          <w:szCs w:val="18"/>
        </w:rPr>
      </w:pPr>
      <w:r w:rsidRPr="009800FB">
        <w:rPr>
          <w:rFonts w:ascii="Century Gothic" w:hAnsi="Century Gothic" w:cs="ArialNarrow-Bold"/>
          <w:b/>
          <w:bCs/>
          <w:i/>
          <w:sz w:val="18"/>
          <w:szCs w:val="18"/>
        </w:rPr>
        <w:t>(</w:t>
      </w:r>
      <w:r w:rsidRPr="009800FB">
        <w:rPr>
          <w:rFonts w:ascii="Century Gothic" w:hAnsi="Century Gothic" w:cs="ArialNarrow"/>
          <w:i/>
          <w:sz w:val="18"/>
          <w:szCs w:val="18"/>
        </w:rPr>
        <w:t>...)</w:t>
      </w:r>
      <w:r w:rsidR="0074101C">
        <w:rPr>
          <w:rFonts w:ascii="Century Gothic" w:hAnsi="Century Gothic" w:cs="ArialNarrow"/>
          <w:i/>
          <w:sz w:val="18"/>
          <w:szCs w:val="18"/>
        </w:rPr>
        <w:t xml:space="preserve"> a única maneira </w:t>
      </w:r>
      <w:r w:rsidR="0074101C" w:rsidRPr="0074101C">
        <w:rPr>
          <w:rFonts w:ascii="Century Gothic" w:hAnsi="Century Gothic" w:cs="ArialNarrow"/>
          <w:i/>
          <w:sz w:val="18"/>
          <w:szCs w:val="18"/>
        </w:rPr>
        <w:t>de comprovar as devidas quantidades como solicitadas no descritivo, somen</w:t>
      </w:r>
      <w:r w:rsidR="0074101C">
        <w:rPr>
          <w:rFonts w:ascii="Century Gothic" w:hAnsi="Century Gothic" w:cs="ArialNarrow"/>
          <w:i/>
          <w:sz w:val="18"/>
          <w:szCs w:val="18"/>
        </w:rPr>
        <w:t xml:space="preserve">te testes das amostras de todos </w:t>
      </w:r>
      <w:r w:rsidR="0074101C" w:rsidRPr="0074101C">
        <w:rPr>
          <w:rFonts w:ascii="Century Gothic" w:hAnsi="Century Gothic" w:cs="ArialNarrow"/>
          <w:i/>
          <w:sz w:val="18"/>
          <w:szCs w:val="18"/>
        </w:rPr>
        <w:t xml:space="preserve">os licitantes por técnico isento e imparcial (Os laboratórios credenciados pelo IPEM/ INMETRO) é </w:t>
      </w:r>
      <w:r w:rsidR="0074101C">
        <w:rPr>
          <w:rFonts w:ascii="Century Gothic" w:hAnsi="Century Gothic" w:cs="ArialNarrow"/>
          <w:i/>
          <w:sz w:val="18"/>
          <w:szCs w:val="18"/>
        </w:rPr>
        <w:t xml:space="preserve">capaz </w:t>
      </w:r>
      <w:r w:rsidR="0074101C" w:rsidRPr="0074101C">
        <w:rPr>
          <w:rFonts w:ascii="Century Gothic" w:hAnsi="Century Gothic" w:cs="ArialNarrow"/>
          <w:i/>
          <w:sz w:val="18"/>
          <w:szCs w:val="18"/>
        </w:rPr>
        <w:t>de comprovar as quantidades solicitadas no termo de referência.</w:t>
      </w:r>
    </w:p>
    <w:p w14:paraId="68B48863" w14:textId="0860743C" w:rsidR="0074101C" w:rsidRDefault="0074101C" w:rsidP="00C57321">
      <w:pPr>
        <w:autoSpaceDE w:val="0"/>
        <w:autoSpaceDN w:val="0"/>
        <w:adjustRightInd w:val="0"/>
        <w:spacing w:line="240" w:lineRule="auto"/>
        <w:ind w:left="2268"/>
        <w:jc w:val="both"/>
        <w:rPr>
          <w:rFonts w:ascii="Century Gothic" w:hAnsi="Century Gothic" w:cs="ArialNarrow"/>
          <w:i/>
          <w:sz w:val="18"/>
          <w:szCs w:val="18"/>
        </w:rPr>
      </w:pPr>
      <w:r>
        <w:rPr>
          <w:rFonts w:ascii="Century Gothic" w:hAnsi="Century Gothic" w:cs="ArialNarrow-Bold"/>
          <w:b/>
          <w:bCs/>
          <w:i/>
          <w:sz w:val="18"/>
          <w:szCs w:val="18"/>
        </w:rPr>
        <w:t>(</w:t>
      </w:r>
      <w:r w:rsidRPr="0074101C">
        <w:rPr>
          <w:rFonts w:ascii="Century Gothic" w:hAnsi="Century Gothic" w:cs="ArialNarrow"/>
          <w:i/>
          <w:sz w:val="18"/>
          <w:szCs w:val="18"/>
        </w:rPr>
        <w:t>.</w:t>
      </w:r>
      <w:r>
        <w:rPr>
          <w:rFonts w:ascii="Century Gothic" w:hAnsi="Century Gothic" w:cs="ArialNarrow"/>
          <w:i/>
          <w:sz w:val="18"/>
          <w:szCs w:val="18"/>
        </w:rPr>
        <w:t>..)</w:t>
      </w:r>
    </w:p>
    <w:p w14:paraId="7757C815" w14:textId="0F10E23B" w:rsidR="0074101C" w:rsidRPr="009800FB" w:rsidRDefault="0074101C" w:rsidP="00C57321">
      <w:pPr>
        <w:autoSpaceDE w:val="0"/>
        <w:autoSpaceDN w:val="0"/>
        <w:adjustRightInd w:val="0"/>
        <w:spacing w:line="240" w:lineRule="auto"/>
        <w:ind w:left="2268"/>
        <w:jc w:val="both"/>
        <w:rPr>
          <w:rFonts w:ascii="Century Gothic" w:hAnsi="Century Gothic" w:cs="ArialNarrow"/>
          <w:i/>
          <w:sz w:val="18"/>
          <w:szCs w:val="18"/>
        </w:rPr>
      </w:pPr>
      <w:r>
        <w:rPr>
          <w:rFonts w:ascii="Century Gothic" w:hAnsi="Century Gothic" w:cs="ArialNarrow-Bold"/>
          <w:b/>
          <w:bCs/>
          <w:i/>
          <w:sz w:val="18"/>
          <w:szCs w:val="18"/>
        </w:rPr>
        <w:t>(</w:t>
      </w:r>
      <w:r w:rsidRPr="0074101C">
        <w:rPr>
          <w:rFonts w:ascii="Century Gothic" w:hAnsi="Century Gothic" w:cs="ArialNarrow"/>
          <w:i/>
          <w:sz w:val="18"/>
          <w:szCs w:val="18"/>
        </w:rPr>
        <w:t>.</w:t>
      </w:r>
      <w:r>
        <w:rPr>
          <w:rFonts w:ascii="Century Gothic" w:hAnsi="Century Gothic" w:cs="ArialNarrow"/>
          <w:i/>
          <w:sz w:val="18"/>
          <w:szCs w:val="18"/>
        </w:rPr>
        <w:t>..)</w:t>
      </w:r>
    </w:p>
    <w:p w14:paraId="79942508" w14:textId="77777777" w:rsidR="009800FB" w:rsidRPr="009800FB" w:rsidRDefault="009800FB" w:rsidP="00C57321">
      <w:pPr>
        <w:autoSpaceDE w:val="0"/>
        <w:autoSpaceDN w:val="0"/>
        <w:adjustRightInd w:val="0"/>
        <w:spacing w:line="240" w:lineRule="auto"/>
        <w:ind w:left="2268"/>
        <w:jc w:val="both"/>
        <w:rPr>
          <w:rFonts w:ascii="Century Gothic" w:hAnsi="Century Gothic" w:cs="ArialNarrow-Bold"/>
          <w:b/>
          <w:bCs/>
          <w:i/>
          <w:sz w:val="18"/>
          <w:szCs w:val="18"/>
        </w:rPr>
      </w:pPr>
      <w:r w:rsidRPr="009800FB">
        <w:rPr>
          <w:rFonts w:ascii="Century Gothic" w:hAnsi="Century Gothic" w:cs="ArialNarrow-Bold"/>
          <w:b/>
          <w:bCs/>
          <w:i/>
          <w:sz w:val="18"/>
          <w:szCs w:val="18"/>
        </w:rPr>
        <w:t>E ainda:</w:t>
      </w:r>
    </w:p>
    <w:p w14:paraId="26A368C4" w14:textId="1B67018D" w:rsidR="009800FB" w:rsidRPr="009800FB" w:rsidRDefault="009800FB" w:rsidP="00C57321">
      <w:pPr>
        <w:autoSpaceDE w:val="0"/>
        <w:autoSpaceDN w:val="0"/>
        <w:adjustRightInd w:val="0"/>
        <w:spacing w:line="240" w:lineRule="auto"/>
        <w:ind w:left="2268"/>
        <w:jc w:val="both"/>
        <w:rPr>
          <w:rFonts w:ascii="Century Gothic" w:hAnsi="Century Gothic" w:cs="ArialNarrow"/>
          <w:i/>
          <w:sz w:val="18"/>
          <w:szCs w:val="18"/>
        </w:rPr>
      </w:pPr>
      <w:r w:rsidRPr="009800FB">
        <w:rPr>
          <w:rFonts w:ascii="Century Gothic" w:hAnsi="Century Gothic" w:cs="ArialNarrow"/>
          <w:i/>
          <w:sz w:val="18"/>
          <w:szCs w:val="18"/>
        </w:rPr>
        <w:t xml:space="preserve">Sabemos que Cartuchos de Toner e Jato de Tinta para impressoras sendo Originais do fabricante, Compatíveis, Recargas/ </w:t>
      </w:r>
      <w:proofErr w:type="spellStart"/>
      <w:r w:rsidRPr="009800FB">
        <w:rPr>
          <w:rFonts w:ascii="Century Gothic" w:hAnsi="Century Gothic" w:cs="ArialNarrow"/>
          <w:i/>
          <w:sz w:val="18"/>
          <w:szCs w:val="18"/>
        </w:rPr>
        <w:t>Remanufaturados</w:t>
      </w:r>
      <w:proofErr w:type="spellEnd"/>
      <w:r w:rsidRPr="009800FB">
        <w:rPr>
          <w:rFonts w:ascii="Century Gothic" w:hAnsi="Century Gothic" w:cs="ArialNarrow"/>
          <w:i/>
          <w:sz w:val="18"/>
          <w:szCs w:val="18"/>
        </w:rPr>
        <w:t xml:space="preserve"> tem a </w:t>
      </w:r>
      <w:r w:rsidRPr="009800FB">
        <w:rPr>
          <w:rFonts w:ascii="Century Gothic" w:hAnsi="Century Gothic" w:cs="ArialNarrow-Bold"/>
          <w:b/>
          <w:bCs/>
          <w:i/>
          <w:sz w:val="18"/>
          <w:szCs w:val="18"/>
        </w:rPr>
        <w:t>Classificação Ambiental I e II sólidos e líquidos</w:t>
      </w:r>
      <w:r w:rsidRPr="009800FB">
        <w:rPr>
          <w:rFonts w:ascii="Century Gothic" w:hAnsi="Century Gothic" w:cs="ArialNarrow"/>
          <w:i/>
          <w:sz w:val="18"/>
          <w:szCs w:val="18"/>
        </w:rPr>
        <w:t xml:space="preserve">. E seguindo as obrigações resultantes na observância das normas Federal LEI 12.305 de </w:t>
      </w:r>
      <w:proofErr w:type="gramStart"/>
      <w:r w:rsidRPr="009800FB">
        <w:rPr>
          <w:rFonts w:ascii="Century Gothic" w:hAnsi="Century Gothic" w:cs="ArialNarrow"/>
          <w:i/>
          <w:sz w:val="18"/>
          <w:szCs w:val="18"/>
        </w:rPr>
        <w:t>2</w:t>
      </w:r>
      <w:proofErr w:type="gramEnd"/>
      <w:r w:rsidRPr="009800FB">
        <w:rPr>
          <w:rFonts w:ascii="Century Gothic" w:hAnsi="Century Gothic" w:cs="ArialNarrow"/>
          <w:i/>
          <w:sz w:val="18"/>
          <w:szCs w:val="18"/>
        </w:rPr>
        <w:t xml:space="preserve"> Agosto 2010 e LEI</w:t>
      </w:r>
    </w:p>
    <w:p w14:paraId="10203320" w14:textId="1EFA9A0F" w:rsidR="009800FB" w:rsidRPr="009800FB" w:rsidRDefault="009800FB" w:rsidP="00C57321">
      <w:pPr>
        <w:autoSpaceDE w:val="0"/>
        <w:autoSpaceDN w:val="0"/>
        <w:adjustRightInd w:val="0"/>
        <w:spacing w:line="240" w:lineRule="auto"/>
        <w:ind w:left="2268"/>
        <w:jc w:val="both"/>
        <w:rPr>
          <w:rFonts w:ascii="Century Gothic" w:hAnsi="Century Gothic" w:cs="ArialNarrow-BoldItalic"/>
          <w:b/>
          <w:bCs/>
          <w:i/>
          <w:iCs/>
          <w:sz w:val="18"/>
          <w:szCs w:val="18"/>
        </w:rPr>
      </w:pPr>
      <w:r w:rsidRPr="009800FB">
        <w:rPr>
          <w:rFonts w:ascii="Century Gothic" w:hAnsi="Century Gothic" w:cs="ArialNarrow"/>
          <w:i/>
          <w:sz w:val="18"/>
          <w:szCs w:val="18"/>
        </w:rPr>
        <w:t xml:space="preserve">9.605, 12 de Fevereiro de 1998, este respectivo ramo de atividade </w:t>
      </w:r>
      <w:r w:rsidRPr="009800FB">
        <w:rPr>
          <w:rFonts w:ascii="Century Gothic" w:hAnsi="Century Gothic" w:cs="ArialNarrow-BoldItalic"/>
          <w:b/>
          <w:bCs/>
          <w:i/>
          <w:iCs/>
          <w:sz w:val="18"/>
          <w:szCs w:val="18"/>
        </w:rPr>
        <w:t xml:space="preserve">necessita de certificado Licença Ambiental ou </w:t>
      </w:r>
      <w:proofErr w:type="spellStart"/>
      <w:r w:rsidRPr="009800FB">
        <w:rPr>
          <w:rFonts w:ascii="Century Gothic" w:hAnsi="Century Gothic" w:cs="ArialNarrow-BoldItalic"/>
          <w:b/>
          <w:bCs/>
          <w:i/>
          <w:iCs/>
          <w:sz w:val="18"/>
          <w:szCs w:val="18"/>
        </w:rPr>
        <w:t>Dispença</w:t>
      </w:r>
      <w:proofErr w:type="spellEnd"/>
      <w:r w:rsidRPr="009800FB">
        <w:rPr>
          <w:rFonts w:ascii="Century Gothic" w:hAnsi="Century Gothic" w:cs="ArialNarrow-BoldItalic"/>
          <w:b/>
          <w:bCs/>
          <w:i/>
          <w:iCs/>
          <w:sz w:val="18"/>
          <w:szCs w:val="18"/>
        </w:rPr>
        <w:t xml:space="preserve"> Ambiental</w:t>
      </w:r>
      <w:r w:rsidRPr="009800FB">
        <w:rPr>
          <w:rFonts w:ascii="Century Gothic" w:hAnsi="Century Gothic" w:cs="ArialNarrow"/>
          <w:i/>
          <w:sz w:val="18"/>
          <w:szCs w:val="18"/>
        </w:rPr>
        <w:t>, expedida por Órgão Estadual do Meio Ambiente (IAP/ SEMA) em nome</w:t>
      </w:r>
      <w:r w:rsidRPr="009800FB">
        <w:rPr>
          <w:rFonts w:ascii="Century Gothic" w:hAnsi="Century Gothic" w:cs="ArialNarrow-BoldItalic"/>
          <w:b/>
          <w:bCs/>
          <w:i/>
          <w:iCs/>
          <w:sz w:val="18"/>
          <w:szCs w:val="18"/>
        </w:rPr>
        <w:t xml:space="preserve"> </w:t>
      </w:r>
      <w:r w:rsidRPr="009800FB">
        <w:rPr>
          <w:rFonts w:ascii="Century Gothic" w:hAnsi="Century Gothic" w:cs="ArialNarrow"/>
          <w:i/>
          <w:sz w:val="18"/>
          <w:szCs w:val="18"/>
        </w:rPr>
        <w:t>do Comércio/ fabricante/ indústria, comprovando que o mesmo atende as normas ambientais.</w:t>
      </w:r>
    </w:p>
    <w:p w14:paraId="0000001B" w14:textId="6489238F" w:rsidR="00B51DEB" w:rsidRPr="009800FB" w:rsidRDefault="009800FB" w:rsidP="00C57321">
      <w:pPr>
        <w:autoSpaceDE w:val="0"/>
        <w:autoSpaceDN w:val="0"/>
        <w:adjustRightInd w:val="0"/>
        <w:spacing w:line="240" w:lineRule="auto"/>
        <w:ind w:left="2268"/>
        <w:jc w:val="both"/>
        <w:rPr>
          <w:rFonts w:ascii="Century Gothic" w:hAnsi="Century Gothic" w:cs="ArialNarrow-Bold"/>
          <w:b/>
          <w:bCs/>
          <w:i/>
          <w:sz w:val="18"/>
          <w:szCs w:val="18"/>
        </w:rPr>
      </w:pPr>
      <w:r w:rsidRPr="009800FB">
        <w:rPr>
          <w:rFonts w:ascii="Century Gothic" w:hAnsi="Century Gothic" w:cs="ArialNarrow-Bold"/>
          <w:b/>
          <w:bCs/>
          <w:i/>
          <w:sz w:val="18"/>
          <w:szCs w:val="18"/>
        </w:rPr>
        <w:t xml:space="preserve">O Governo Federal sancionou a LEI 9.605, 12 de Fevereiro de 1998 e LEI Nº 12.305, de </w:t>
      </w:r>
      <w:proofErr w:type="gramStart"/>
      <w:r w:rsidRPr="009800FB">
        <w:rPr>
          <w:rFonts w:ascii="Century Gothic" w:hAnsi="Century Gothic" w:cs="ArialNarrow-Bold"/>
          <w:b/>
          <w:bCs/>
          <w:i/>
          <w:sz w:val="18"/>
          <w:szCs w:val="18"/>
        </w:rPr>
        <w:t>2</w:t>
      </w:r>
      <w:proofErr w:type="gramEnd"/>
      <w:r w:rsidRPr="009800FB">
        <w:rPr>
          <w:rFonts w:ascii="Century Gothic" w:hAnsi="Century Gothic" w:cs="ArialNarrow-Bold"/>
          <w:b/>
          <w:bCs/>
          <w:i/>
          <w:sz w:val="18"/>
          <w:szCs w:val="18"/>
        </w:rPr>
        <w:t xml:space="preserve"> de agosto de 2010 e Estadual Portaria IAP nº 224/07 </w:t>
      </w:r>
      <w:r w:rsidR="008A5C51" w:rsidRPr="009800FB">
        <w:rPr>
          <w:rFonts w:ascii="Century Gothic" w:eastAsia="Century Gothic" w:hAnsi="Century Gothic" w:cs="Century Gothic"/>
          <w:i/>
          <w:sz w:val="18"/>
          <w:szCs w:val="18"/>
        </w:rPr>
        <w:t>(...)</w:t>
      </w:r>
    </w:p>
    <w:p w14:paraId="149BC0DE" w14:textId="6029C8BD" w:rsidR="00C30F94" w:rsidRPr="00DD1AAC" w:rsidRDefault="00DD1AAC" w:rsidP="00C57321">
      <w:pPr>
        <w:spacing w:before="240" w:line="240" w:lineRule="auto"/>
        <w:jc w:val="both"/>
        <w:rPr>
          <w:rFonts w:ascii="Century Gothic" w:eastAsia="Century Gothic" w:hAnsi="Century Gothic" w:cs="Century Gothic"/>
        </w:rPr>
      </w:pPr>
      <w:r w:rsidRPr="00DD1AAC">
        <w:rPr>
          <w:rFonts w:ascii="Century Gothic" w:eastAsia="Century Gothic" w:hAnsi="Century Gothic" w:cs="Century Gothic"/>
          <w:b/>
        </w:rPr>
        <w:t>2.2.</w:t>
      </w:r>
      <w:r w:rsidRPr="00DD1AAC">
        <w:rPr>
          <w:rFonts w:ascii="Century Gothic" w:eastAsia="Century Gothic" w:hAnsi="Century Gothic" w:cs="Century Gothic"/>
        </w:rPr>
        <w:t xml:space="preserve"> </w:t>
      </w:r>
      <w:r w:rsidR="00C30F94" w:rsidRPr="00DD1AAC">
        <w:rPr>
          <w:rFonts w:ascii="Century Gothic" w:eastAsia="Century Gothic" w:hAnsi="Century Gothic" w:cs="Century Gothic"/>
        </w:rPr>
        <w:t>Neste sentido, requer a inclusão dos seguintes documentos:</w:t>
      </w:r>
    </w:p>
    <w:p w14:paraId="353507C8" w14:textId="4E785182" w:rsidR="00C30F94" w:rsidRDefault="00C30F94" w:rsidP="00C57321">
      <w:pPr>
        <w:spacing w:before="240" w:line="240" w:lineRule="auto"/>
        <w:ind w:left="2268"/>
        <w:jc w:val="both"/>
        <w:rPr>
          <w:rFonts w:ascii="Century Gothic" w:eastAsia="Century Gothic" w:hAnsi="Century Gothic" w:cs="Century Gothic"/>
          <w:i/>
          <w:sz w:val="18"/>
          <w:szCs w:val="18"/>
        </w:rPr>
      </w:pPr>
      <w:r>
        <w:rPr>
          <w:rFonts w:ascii="Century Gothic" w:eastAsia="Century Gothic" w:hAnsi="Century Gothic" w:cs="Century Gothic"/>
          <w:i/>
          <w:sz w:val="18"/>
          <w:szCs w:val="18"/>
        </w:rPr>
        <w:lastRenderedPageBreak/>
        <w:t>(...)</w:t>
      </w:r>
    </w:p>
    <w:p w14:paraId="7D190F60" w14:textId="5CDB7BA1" w:rsidR="00C30F94" w:rsidRDefault="00C30F94" w:rsidP="009F3BA5">
      <w:pPr>
        <w:autoSpaceDE w:val="0"/>
        <w:autoSpaceDN w:val="0"/>
        <w:adjustRightInd w:val="0"/>
        <w:spacing w:line="240" w:lineRule="auto"/>
        <w:ind w:left="2268"/>
        <w:jc w:val="both"/>
        <w:rPr>
          <w:rFonts w:ascii="Century Gothic" w:hAnsi="Century Gothic" w:cs="ArialNarrow"/>
          <w:sz w:val="18"/>
          <w:szCs w:val="18"/>
        </w:rPr>
      </w:pPr>
      <w:r w:rsidRPr="00C30F94">
        <w:rPr>
          <w:rFonts w:ascii="Century Gothic" w:hAnsi="Century Gothic" w:cs="ArialNarrow"/>
          <w:sz w:val="18"/>
          <w:szCs w:val="18"/>
        </w:rPr>
        <w:t xml:space="preserve">Em face do exposto, requer se digne Vossa Senhoria a solicitação dos </w:t>
      </w:r>
      <w:r w:rsidRPr="00C30F94">
        <w:rPr>
          <w:rFonts w:ascii="Century Gothic" w:hAnsi="Century Gothic" w:cs="ArialNarrow-Bold"/>
          <w:b/>
          <w:bCs/>
          <w:sz w:val="18"/>
          <w:szCs w:val="18"/>
        </w:rPr>
        <w:t>laudos técnicos para comprovação</w:t>
      </w:r>
      <w:r>
        <w:rPr>
          <w:rFonts w:ascii="Century Gothic" w:hAnsi="Century Gothic" w:cs="ArialNarrow-Bold"/>
          <w:b/>
          <w:bCs/>
          <w:sz w:val="18"/>
          <w:szCs w:val="18"/>
        </w:rPr>
        <w:t xml:space="preserve"> </w:t>
      </w:r>
      <w:r w:rsidRPr="00C30F94">
        <w:rPr>
          <w:rFonts w:ascii="Century Gothic" w:hAnsi="Century Gothic" w:cs="ArialNarrow-Bold"/>
          <w:b/>
          <w:bCs/>
          <w:sz w:val="18"/>
          <w:szCs w:val="18"/>
        </w:rPr>
        <w:t xml:space="preserve">de quantidades mínimas dos produtos ofertados </w:t>
      </w:r>
      <w:r w:rsidRPr="00C30F94">
        <w:rPr>
          <w:rFonts w:ascii="Century Gothic" w:hAnsi="Century Gothic" w:cs="ArialNarrow"/>
          <w:sz w:val="18"/>
          <w:szCs w:val="18"/>
        </w:rPr>
        <w:t xml:space="preserve">no, </w:t>
      </w:r>
      <w:r w:rsidRPr="00C30F94">
        <w:rPr>
          <w:rFonts w:ascii="Century Gothic" w:hAnsi="Century Gothic" w:cs="ArialNarrow-Bold"/>
          <w:b/>
          <w:bCs/>
          <w:sz w:val="18"/>
          <w:szCs w:val="18"/>
        </w:rPr>
        <w:t>TERMO DE REFE</w:t>
      </w:r>
      <w:r>
        <w:rPr>
          <w:rFonts w:ascii="Century Gothic" w:hAnsi="Century Gothic" w:cs="ArialNarrow-Bold"/>
          <w:b/>
          <w:bCs/>
          <w:sz w:val="18"/>
          <w:szCs w:val="18"/>
        </w:rPr>
        <w:t xml:space="preserve">RÊNCIA, para cartuchos de toner </w:t>
      </w:r>
      <w:r w:rsidRPr="00C30F94">
        <w:rPr>
          <w:rFonts w:ascii="Century Gothic" w:hAnsi="Century Gothic" w:cs="ArialNarrow-Bold"/>
          <w:b/>
          <w:bCs/>
          <w:sz w:val="18"/>
          <w:szCs w:val="18"/>
        </w:rPr>
        <w:t xml:space="preserve">e tinta </w:t>
      </w:r>
      <w:r w:rsidRPr="00C30F94">
        <w:rPr>
          <w:rFonts w:ascii="Century Gothic" w:hAnsi="Century Gothic" w:cs="ArialNarrow"/>
          <w:sz w:val="18"/>
          <w:szCs w:val="18"/>
        </w:rPr>
        <w:t xml:space="preserve">e as devidas documentações </w:t>
      </w:r>
      <w:r w:rsidRPr="00C30F94">
        <w:rPr>
          <w:rFonts w:ascii="Century Gothic" w:hAnsi="Century Gothic" w:cs="ArialNarrow-Bold"/>
          <w:b/>
          <w:bCs/>
          <w:sz w:val="18"/>
          <w:szCs w:val="18"/>
        </w:rPr>
        <w:t>(Certificado licença ambiental</w:t>
      </w:r>
      <w:r w:rsidRPr="00C30F94">
        <w:rPr>
          <w:rFonts w:ascii="Century Gothic" w:hAnsi="Century Gothic" w:cs="ArialNarrow-BoldItalic"/>
          <w:b/>
          <w:bCs/>
          <w:i/>
          <w:iCs/>
          <w:sz w:val="18"/>
          <w:szCs w:val="18"/>
        </w:rPr>
        <w:t xml:space="preserve">) </w:t>
      </w:r>
      <w:r w:rsidRPr="00C30F94">
        <w:rPr>
          <w:rFonts w:ascii="Century Gothic" w:hAnsi="Century Gothic" w:cs="ArialNarrow"/>
          <w:sz w:val="18"/>
          <w:szCs w:val="18"/>
        </w:rPr>
        <w:t>em nome do Comércio/ fabricante/</w:t>
      </w:r>
      <w:r>
        <w:rPr>
          <w:rFonts w:ascii="Century Gothic" w:hAnsi="Century Gothic" w:cs="ArialNarrow-Bold"/>
          <w:b/>
          <w:bCs/>
          <w:sz w:val="18"/>
          <w:szCs w:val="18"/>
        </w:rPr>
        <w:t xml:space="preserve"> </w:t>
      </w:r>
      <w:r w:rsidRPr="00C30F94">
        <w:rPr>
          <w:rFonts w:ascii="Century Gothic" w:hAnsi="Century Gothic" w:cs="ArialNarrow"/>
          <w:sz w:val="18"/>
          <w:szCs w:val="18"/>
        </w:rPr>
        <w:t>indústria, comprovando que o mesmo atende as normas ambientais, das obrigações resultantes na</w:t>
      </w:r>
      <w:r>
        <w:rPr>
          <w:rFonts w:ascii="Century Gothic" w:hAnsi="Century Gothic" w:cs="ArialNarrow-Bold"/>
          <w:b/>
          <w:bCs/>
          <w:sz w:val="18"/>
          <w:szCs w:val="18"/>
        </w:rPr>
        <w:t xml:space="preserve"> </w:t>
      </w:r>
      <w:r w:rsidRPr="00C30F94">
        <w:rPr>
          <w:rFonts w:ascii="Century Gothic" w:hAnsi="Century Gothic" w:cs="ArialNarrow"/>
          <w:sz w:val="18"/>
          <w:szCs w:val="18"/>
        </w:rPr>
        <w:t xml:space="preserve">observância da LEI 12.305, de </w:t>
      </w:r>
      <w:proofErr w:type="gramStart"/>
      <w:r w:rsidRPr="00C30F94">
        <w:rPr>
          <w:rFonts w:ascii="Century Gothic" w:hAnsi="Century Gothic" w:cs="ArialNarrow"/>
          <w:sz w:val="18"/>
          <w:szCs w:val="18"/>
        </w:rPr>
        <w:t>2</w:t>
      </w:r>
      <w:proofErr w:type="gramEnd"/>
      <w:r w:rsidRPr="00C30F94">
        <w:rPr>
          <w:rFonts w:ascii="Century Gothic" w:hAnsi="Century Gothic" w:cs="ArialNarrow"/>
          <w:sz w:val="18"/>
          <w:szCs w:val="18"/>
        </w:rPr>
        <w:t xml:space="preserve"> de Agosto de 2010 e LEI 9.605 12 de Fevereiro de 1998, por ter </w:t>
      </w:r>
      <w:r w:rsidRPr="00C30F94">
        <w:rPr>
          <w:rFonts w:ascii="Century Gothic" w:hAnsi="Century Gothic" w:cs="ArialNarrow-BoldItalic"/>
          <w:b/>
          <w:bCs/>
          <w:i/>
          <w:iCs/>
          <w:sz w:val="18"/>
          <w:szCs w:val="18"/>
        </w:rPr>
        <w:t>classificação</w:t>
      </w:r>
      <w:r>
        <w:rPr>
          <w:rFonts w:ascii="Century Gothic" w:hAnsi="Century Gothic" w:cs="ArialNarrow-Bold"/>
          <w:b/>
          <w:bCs/>
          <w:sz w:val="18"/>
          <w:szCs w:val="18"/>
        </w:rPr>
        <w:t xml:space="preserve"> </w:t>
      </w:r>
      <w:r w:rsidRPr="00C30F94">
        <w:rPr>
          <w:rFonts w:ascii="Century Gothic" w:hAnsi="Century Gothic" w:cs="ArialNarrow-BoldItalic"/>
          <w:b/>
          <w:bCs/>
          <w:i/>
          <w:iCs/>
          <w:sz w:val="18"/>
          <w:szCs w:val="18"/>
        </w:rPr>
        <w:t>Sólidos e Líquidos Classe I e II Classificação Perigosos</w:t>
      </w:r>
      <w:r w:rsidRPr="00C30F94">
        <w:rPr>
          <w:rFonts w:ascii="Century Gothic" w:hAnsi="Century Gothic" w:cs="ArialNarrow"/>
          <w:sz w:val="18"/>
          <w:szCs w:val="18"/>
        </w:rPr>
        <w:t>, como documentos de Qualificação Técnicas que</w:t>
      </w:r>
      <w:r>
        <w:rPr>
          <w:rFonts w:ascii="Century Gothic" w:hAnsi="Century Gothic" w:cs="ArialNarrow-Bold"/>
          <w:b/>
          <w:bCs/>
          <w:sz w:val="18"/>
          <w:szCs w:val="18"/>
        </w:rPr>
        <w:t xml:space="preserve"> </w:t>
      </w:r>
      <w:r w:rsidRPr="00C30F94">
        <w:rPr>
          <w:rFonts w:ascii="Century Gothic" w:hAnsi="Century Gothic" w:cs="ArialNarrow"/>
          <w:sz w:val="18"/>
          <w:szCs w:val="18"/>
        </w:rPr>
        <w:t>deverão ser apresentados na Habilitação e não na Homologação, uma vez que os documentos podem abrir</w:t>
      </w:r>
      <w:r>
        <w:rPr>
          <w:rFonts w:ascii="Century Gothic" w:hAnsi="Century Gothic" w:cs="ArialNarrow-Bold"/>
          <w:b/>
          <w:bCs/>
          <w:sz w:val="18"/>
          <w:szCs w:val="18"/>
        </w:rPr>
        <w:t xml:space="preserve"> </w:t>
      </w:r>
      <w:r w:rsidRPr="00C30F94">
        <w:rPr>
          <w:rFonts w:ascii="Century Gothic" w:hAnsi="Century Gothic" w:cs="ArialNarrow"/>
          <w:sz w:val="18"/>
          <w:szCs w:val="18"/>
        </w:rPr>
        <w:t>precedência para questionamento caso não atendam o solicitado, sendo posterior a fase de Habilitação</w:t>
      </w:r>
      <w:r>
        <w:rPr>
          <w:rFonts w:ascii="Century Gothic" w:hAnsi="Century Gothic" w:cs="ArialNarrow-Bold"/>
          <w:b/>
          <w:bCs/>
          <w:sz w:val="18"/>
          <w:szCs w:val="18"/>
        </w:rPr>
        <w:t xml:space="preserve"> </w:t>
      </w:r>
      <w:r w:rsidRPr="00C30F94">
        <w:rPr>
          <w:rFonts w:ascii="Century Gothic" w:hAnsi="Century Gothic" w:cs="ArialNarrow"/>
          <w:sz w:val="18"/>
          <w:szCs w:val="18"/>
        </w:rPr>
        <w:t>havendo possibilidade de ap</w:t>
      </w:r>
      <w:r w:rsidR="009F3BA5">
        <w:rPr>
          <w:rFonts w:ascii="Century Gothic" w:hAnsi="Century Gothic" w:cs="ArialNarrow"/>
          <w:sz w:val="18"/>
          <w:szCs w:val="18"/>
        </w:rPr>
        <w:t>resentar recurso ou apontamento.</w:t>
      </w:r>
    </w:p>
    <w:p w14:paraId="12F8F995" w14:textId="77777777" w:rsidR="007110D7" w:rsidRDefault="007110D7" w:rsidP="009F3BA5">
      <w:pPr>
        <w:autoSpaceDE w:val="0"/>
        <w:autoSpaceDN w:val="0"/>
        <w:adjustRightInd w:val="0"/>
        <w:spacing w:line="240" w:lineRule="auto"/>
        <w:ind w:left="2268"/>
        <w:jc w:val="both"/>
        <w:rPr>
          <w:rFonts w:ascii="Century Gothic" w:hAnsi="Century Gothic" w:cs="ArialNarrow"/>
          <w:sz w:val="18"/>
          <w:szCs w:val="18"/>
        </w:rPr>
      </w:pPr>
    </w:p>
    <w:p w14:paraId="748B7D6D" w14:textId="0E035E73" w:rsidR="007110D7" w:rsidRPr="007110D7" w:rsidRDefault="007110D7" w:rsidP="007110D7">
      <w:pPr>
        <w:autoSpaceDE w:val="0"/>
        <w:autoSpaceDN w:val="0"/>
        <w:adjustRightInd w:val="0"/>
        <w:spacing w:line="240" w:lineRule="auto"/>
        <w:jc w:val="both"/>
        <w:rPr>
          <w:rFonts w:ascii="Century Gothic" w:eastAsia="Century Gothic" w:hAnsi="Century Gothic" w:cs="Century Gothic"/>
        </w:rPr>
      </w:pPr>
      <w:r w:rsidRPr="007110D7">
        <w:rPr>
          <w:rFonts w:ascii="Century Gothic" w:eastAsia="Century Gothic" w:hAnsi="Century Gothic" w:cs="Century Gothic"/>
        </w:rPr>
        <w:t>É o breve relatório.</w:t>
      </w:r>
    </w:p>
    <w:p w14:paraId="05FC00C5" w14:textId="030A9E47" w:rsidR="009F3BA5" w:rsidRDefault="009F3BA5" w:rsidP="009F3BA5">
      <w:pPr>
        <w:spacing w:before="240" w:line="240" w:lineRule="auto"/>
        <w:jc w:val="both"/>
        <w:rPr>
          <w:rFonts w:ascii="Century Gothic" w:eastAsia="Century Gothic" w:hAnsi="Century Gothic" w:cs="Century Gothic"/>
          <w:b/>
        </w:rPr>
      </w:pPr>
      <w:r>
        <w:rPr>
          <w:rFonts w:ascii="Century Gothic" w:eastAsia="Century Gothic" w:hAnsi="Century Gothic" w:cs="Century Gothic"/>
          <w:b/>
        </w:rPr>
        <w:t>3.  DA RESPOSTA:</w:t>
      </w:r>
    </w:p>
    <w:p w14:paraId="2B0DEBFE" w14:textId="7FA1DDA9" w:rsidR="007F6F54" w:rsidRDefault="009F3BA5" w:rsidP="007F6F54">
      <w:pPr>
        <w:spacing w:line="240" w:lineRule="auto"/>
        <w:jc w:val="both"/>
        <w:rPr>
          <w:rFonts w:ascii="Century Gothic" w:eastAsia="Century Gothic" w:hAnsi="Century Gothic" w:cs="Century Gothic"/>
        </w:rPr>
      </w:pPr>
      <w:r>
        <w:rPr>
          <w:rFonts w:ascii="Century Gothic" w:eastAsia="Century Gothic" w:hAnsi="Century Gothic" w:cs="Century Gothic"/>
          <w:b/>
        </w:rPr>
        <w:t xml:space="preserve">3.1. </w:t>
      </w:r>
      <w:r w:rsidR="007F6F54" w:rsidRPr="007F6F54">
        <w:rPr>
          <w:rFonts w:ascii="Century Gothic" w:eastAsia="Century Gothic" w:hAnsi="Century Gothic" w:cs="Century Gothic"/>
        </w:rPr>
        <w:t>Preliminarmente, cumpre esclarecer que a Adm</w:t>
      </w:r>
      <w:r w:rsidR="007F6F54">
        <w:rPr>
          <w:rFonts w:ascii="Century Gothic" w:eastAsia="Century Gothic" w:hAnsi="Century Gothic" w:cs="Century Gothic"/>
        </w:rPr>
        <w:t xml:space="preserve">inistração procura sempre o fim </w:t>
      </w:r>
      <w:r w:rsidR="007F6F54" w:rsidRPr="007F6F54">
        <w:rPr>
          <w:rFonts w:ascii="Century Gothic" w:eastAsia="Century Gothic" w:hAnsi="Century Gothic" w:cs="Century Gothic"/>
        </w:rPr>
        <w:t>público, respeitando todos os princípios ba</w:t>
      </w:r>
      <w:r w:rsidR="007F6F54">
        <w:rPr>
          <w:rFonts w:ascii="Century Gothic" w:eastAsia="Century Gothic" w:hAnsi="Century Gothic" w:cs="Century Gothic"/>
        </w:rPr>
        <w:t xml:space="preserve">silares da licitação e dos atos </w:t>
      </w:r>
      <w:r w:rsidR="007F6F54" w:rsidRPr="007F6F54">
        <w:rPr>
          <w:rFonts w:ascii="Century Gothic" w:eastAsia="Century Gothic" w:hAnsi="Century Gothic" w:cs="Century Gothic"/>
        </w:rPr>
        <w:t>administrativos, mormente o da legalidade,</w:t>
      </w:r>
      <w:r w:rsidR="007F6F54">
        <w:rPr>
          <w:rFonts w:ascii="Century Gothic" w:eastAsia="Century Gothic" w:hAnsi="Century Gothic" w:cs="Century Gothic"/>
        </w:rPr>
        <w:t xml:space="preserve"> o da vinculação ao instrumento </w:t>
      </w:r>
      <w:r w:rsidR="007F6F54" w:rsidRPr="007F6F54">
        <w:rPr>
          <w:rFonts w:ascii="Century Gothic" w:eastAsia="Century Gothic" w:hAnsi="Century Gothic" w:cs="Century Gothic"/>
        </w:rPr>
        <w:t>convocatório e o do julgamento objetivo.</w:t>
      </w:r>
      <w:r w:rsidR="007F6F54">
        <w:rPr>
          <w:rFonts w:ascii="Century Gothic" w:eastAsia="Century Gothic" w:hAnsi="Century Gothic" w:cs="Century Gothic"/>
        </w:rPr>
        <w:t xml:space="preserve">  </w:t>
      </w:r>
    </w:p>
    <w:p w14:paraId="7B3D06F5" w14:textId="37AB8E46" w:rsidR="009F3BA5" w:rsidRDefault="00DD1AAC" w:rsidP="007F6F54">
      <w:pPr>
        <w:spacing w:before="240" w:line="240" w:lineRule="auto"/>
        <w:jc w:val="both"/>
        <w:rPr>
          <w:rFonts w:ascii="Century Gothic" w:eastAsia="Century Gothic" w:hAnsi="Century Gothic" w:cs="Century Gothic"/>
        </w:rPr>
      </w:pPr>
      <w:r w:rsidRPr="00DD1AAC">
        <w:rPr>
          <w:rFonts w:ascii="Century Gothic" w:eastAsia="Century Gothic" w:hAnsi="Century Gothic" w:cs="Century Gothic"/>
          <w:b/>
        </w:rPr>
        <w:t>3.2.</w:t>
      </w:r>
      <w:r>
        <w:rPr>
          <w:rFonts w:ascii="Century Gothic" w:eastAsia="Century Gothic" w:hAnsi="Century Gothic" w:cs="Century Gothic"/>
        </w:rPr>
        <w:t xml:space="preserve"> </w:t>
      </w:r>
      <w:r w:rsidR="009F3BA5" w:rsidRPr="009F3BA5">
        <w:rPr>
          <w:rFonts w:ascii="Century Gothic" w:eastAsia="Century Gothic" w:hAnsi="Century Gothic" w:cs="Century Gothic"/>
        </w:rPr>
        <w:t>Levando em consideração a peça impugnatória apresentada pela empresa</w:t>
      </w:r>
      <w:r w:rsidR="009F3BA5">
        <w:rPr>
          <w:rFonts w:ascii="Century Gothic" w:eastAsia="Century Gothic" w:hAnsi="Century Gothic" w:cs="Century Gothic"/>
        </w:rPr>
        <w:t xml:space="preserve">, esta Pregoeira e equipe realizaram consulta à Advocacia Municipal, </w:t>
      </w:r>
      <w:r>
        <w:rPr>
          <w:rFonts w:ascii="Century Gothic" w:eastAsia="Century Gothic" w:hAnsi="Century Gothic" w:cs="Century Gothic"/>
        </w:rPr>
        <w:t>tendo em vista</w:t>
      </w:r>
      <w:r w:rsidR="009F3BA5">
        <w:rPr>
          <w:rFonts w:ascii="Century Gothic" w:eastAsia="Century Gothic" w:hAnsi="Century Gothic" w:cs="Century Gothic"/>
        </w:rPr>
        <w:t xml:space="preserve"> que a descrição dos itens, bem como a exigência documental </w:t>
      </w:r>
      <w:r w:rsidR="00037534">
        <w:rPr>
          <w:rFonts w:ascii="Century Gothic" w:eastAsia="Century Gothic" w:hAnsi="Century Gothic" w:cs="Century Gothic"/>
        </w:rPr>
        <w:t>constante no edital</w:t>
      </w:r>
      <w:r>
        <w:rPr>
          <w:rFonts w:ascii="Century Gothic" w:eastAsia="Century Gothic" w:hAnsi="Century Gothic" w:cs="Century Gothic"/>
        </w:rPr>
        <w:t xml:space="preserve"> de convocação</w:t>
      </w:r>
      <w:r w:rsidR="00037534">
        <w:rPr>
          <w:rFonts w:ascii="Century Gothic" w:eastAsia="Century Gothic" w:hAnsi="Century Gothic" w:cs="Century Gothic"/>
        </w:rPr>
        <w:t xml:space="preserve"> foi </w:t>
      </w:r>
      <w:r w:rsidR="007E14A5">
        <w:rPr>
          <w:rFonts w:ascii="Century Gothic" w:eastAsia="Century Gothic" w:hAnsi="Century Gothic" w:cs="Century Gothic"/>
        </w:rPr>
        <w:t>elaborada</w:t>
      </w:r>
      <w:r w:rsidR="00037534">
        <w:rPr>
          <w:rFonts w:ascii="Century Gothic" w:eastAsia="Century Gothic" w:hAnsi="Century Gothic" w:cs="Century Gothic"/>
        </w:rPr>
        <w:t xml:space="preserve"> pela secretaria demandante, pois não </w:t>
      </w:r>
      <w:r w:rsidR="007E14A5">
        <w:rPr>
          <w:rFonts w:ascii="Century Gothic" w:eastAsia="Century Gothic" w:hAnsi="Century Gothic" w:cs="Century Gothic"/>
        </w:rPr>
        <w:t>cabem</w:t>
      </w:r>
      <w:r w:rsidR="00037534">
        <w:rPr>
          <w:rFonts w:ascii="Century Gothic" w:eastAsia="Century Gothic" w:hAnsi="Century Gothic" w:cs="Century Gothic"/>
        </w:rPr>
        <w:t xml:space="preserve"> à Pregoeira</w:t>
      </w:r>
      <w:r w:rsidR="007E14A5">
        <w:rPr>
          <w:rFonts w:ascii="Century Gothic" w:eastAsia="Century Gothic" w:hAnsi="Century Gothic" w:cs="Century Gothic"/>
        </w:rPr>
        <w:t xml:space="preserve"> estas atribuições na fase preparatória do processo licitatório.</w:t>
      </w:r>
    </w:p>
    <w:p w14:paraId="4649B8AD" w14:textId="27DB30C4" w:rsidR="007E14A5" w:rsidRPr="00DF205B" w:rsidRDefault="00DD1AAC" w:rsidP="00AB071D">
      <w:pPr>
        <w:spacing w:before="240" w:line="240" w:lineRule="auto"/>
        <w:jc w:val="both"/>
        <w:rPr>
          <w:rFonts w:ascii="Century Gothic" w:eastAsia="Century Gothic" w:hAnsi="Century Gothic" w:cs="Century Gothic"/>
        </w:rPr>
      </w:pPr>
      <w:r w:rsidRPr="00DD1AAC">
        <w:rPr>
          <w:rFonts w:ascii="Century Gothic" w:eastAsia="Century Gothic" w:hAnsi="Century Gothic" w:cs="Century Gothic"/>
          <w:b/>
        </w:rPr>
        <w:t>3.3.</w:t>
      </w:r>
      <w:r>
        <w:rPr>
          <w:rFonts w:ascii="Century Gothic" w:eastAsia="Century Gothic" w:hAnsi="Century Gothic" w:cs="Century Gothic"/>
        </w:rPr>
        <w:t xml:space="preserve"> </w:t>
      </w:r>
      <w:r w:rsidR="007E14A5">
        <w:rPr>
          <w:rFonts w:ascii="Century Gothic" w:eastAsia="Century Gothic" w:hAnsi="Century Gothic" w:cs="Century Gothic"/>
        </w:rPr>
        <w:t xml:space="preserve">Neste sentido, manifestou-se a Advocacia Municipal, diante do contido </w:t>
      </w:r>
      <w:r w:rsidR="007D196F">
        <w:rPr>
          <w:rFonts w:ascii="Century Gothic" w:eastAsia="Century Gothic" w:hAnsi="Century Gothic" w:cs="Century Gothic"/>
        </w:rPr>
        <w:t>nas deliberações do Tribunal de Contas</w:t>
      </w:r>
      <w:r w:rsidR="007F6F54">
        <w:rPr>
          <w:rFonts w:ascii="Century Gothic" w:eastAsia="Century Gothic" w:hAnsi="Century Gothic" w:cs="Century Gothic"/>
        </w:rPr>
        <w:t xml:space="preserve"> da União</w:t>
      </w:r>
      <w:r w:rsidR="007D196F" w:rsidRPr="007D196F">
        <w:rPr>
          <w:rFonts w:ascii="Century Gothic" w:eastAsia="Century Gothic" w:hAnsi="Century Gothic" w:cs="Century Gothic"/>
        </w:rPr>
        <w:t xml:space="preserve">: Decisões </w:t>
      </w:r>
      <w:proofErr w:type="spellStart"/>
      <w:r w:rsidR="007D196F" w:rsidRPr="007D196F">
        <w:rPr>
          <w:rFonts w:ascii="Century Gothic" w:eastAsia="Century Gothic" w:hAnsi="Century Gothic" w:cs="Century Gothic"/>
        </w:rPr>
        <w:t>n°s</w:t>
      </w:r>
      <w:proofErr w:type="spellEnd"/>
      <w:r w:rsidR="007D196F" w:rsidRPr="007D196F">
        <w:rPr>
          <w:rFonts w:ascii="Century Gothic" w:eastAsia="Century Gothic" w:hAnsi="Century Gothic" w:cs="Century Gothic"/>
        </w:rPr>
        <w:t xml:space="preserve"> 130/2002; 51</w:t>
      </w:r>
      <w:r w:rsidR="007D196F">
        <w:rPr>
          <w:rFonts w:ascii="Century Gothic" w:eastAsia="Century Gothic" w:hAnsi="Century Gothic" w:cs="Century Gothic"/>
        </w:rPr>
        <w:t xml:space="preserve">6/2002, 1.476/2002; 1.622/2002; </w:t>
      </w:r>
      <w:r w:rsidR="007D196F" w:rsidRPr="007D196F">
        <w:rPr>
          <w:rFonts w:ascii="Century Gothic" w:eastAsia="Century Gothic" w:hAnsi="Century Gothic" w:cs="Century Gothic"/>
        </w:rPr>
        <w:t xml:space="preserve">1.196/2002 e </w:t>
      </w:r>
      <w:r w:rsidR="007110D7" w:rsidRPr="007110D7">
        <w:rPr>
          <w:rFonts w:ascii="Century Gothic" w:eastAsia="Century Gothic" w:hAnsi="Century Gothic" w:cs="Century Gothic"/>
        </w:rPr>
        <w:t>ACÓRDÃO Nº 1.446/2004-TCU-PLENÁRIO</w:t>
      </w:r>
      <w:r w:rsidR="007D196F" w:rsidRPr="007D196F">
        <w:rPr>
          <w:rFonts w:ascii="Century Gothic" w:eastAsia="Century Gothic" w:hAnsi="Century Gothic" w:cs="Century Gothic"/>
        </w:rPr>
        <w:t xml:space="preserve">, </w:t>
      </w:r>
      <w:r>
        <w:rPr>
          <w:rFonts w:ascii="Century Gothic" w:eastAsia="Century Gothic" w:hAnsi="Century Gothic" w:cs="Century Gothic"/>
        </w:rPr>
        <w:t xml:space="preserve">e do equívoco por parte da secretaria demandante em não solicitar </w:t>
      </w:r>
      <w:r w:rsidR="006646BD">
        <w:rPr>
          <w:rFonts w:ascii="Century Gothic" w:eastAsia="Century Gothic" w:hAnsi="Century Gothic" w:cs="Century Gothic"/>
        </w:rPr>
        <w:t xml:space="preserve">o documento: </w:t>
      </w:r>
      <w:r w:rsidR="006646BD" w:rsidRPr="006646BD">
        <w:rPr>
          <w:rFonts w:ascii="Century Gothic" w:eastAsia="Century Gothic" w:hAnsi="Century Gothic" w:cs="Century Gothic"/>
          <w:b/>
        </w:rPr>
        <w:t>laudo técnico</w:t>
      </w:r>
      <w:r w:rsidR="006646BD" w:rsidRPr="006646BD">
        <w:rPr>
          <w:rFonts w:ascii="Century Gothic" w:eastAsia="Century Gothic" w:hAnsi="Century Gothic" w:cs="Century Gothic"/>
        </w:rPr>
        <w:t xml:space="preserve"> </w:t>
      </w:r>
      <w:r w:rsidR="00800593" w:rsidRPr="00800593">
        <w:rPr>
          <w:rFonts w:ascii="Century Gothic" w:eastAsia="Century Gothic" w:hAnsi="Century Gothic" w:cs="Century Gothic"/>
        </w:rPr>
        <w:t>comprobatório de bom funcionamento, bo</w:t>
      </w:r>
      <w:r w:rsidR="00800593">
        <w:rPr>
          <w:rFonts w:ascii="Century Gothic" w:eastAsia="Century Gothic" w:hAnsi="Century Gothic" w:cs="Century Gothic"/>
        </w:rPr>
        <w:t xml:space="preserve">a </w:t>
      </w:r>
      <w:r w:rsidR="00800593" w:rsidRPr="00800593">
        <w:rPr>
          <w:rFonts w:ascii="Century Gothic" w:eastAsia="Century Gothic" w:hAnsi="Century Gothic" w:cs="Century Gothic"/>
        </w:rPr>
        <w:t>qualidade, desempenho, compatibilidade e rendimento de impr</w:t>
      </w:r>
      <w:r w:rsidR="00800593">
        <w:rPr>
          <w:rFonts w:ascii="Century Gothic" w:eastAsia="Century Gothic" w:hAnsi="Century Gothic" w:cs="Century Gothic"/>
        </w:rPr>
        <w:t>essões, emitido por laboratório</w:t>
      </w:r>
      <w:r w:rsidR="00800593" w:rsidRPr="00800593">
        <w:rPr>
          <w:rFonts w:ascii="Century Gothic" w:eastAsia="Century Gothic" w:hAnsi="Century Gothic" w:cs="Century Gothic"/>
        </w:rPr>
        <w:t>/entidade/instituto, de reconhecida idoneidade e comp</w:t>
      </w:r>
      <w:r w:rsidR="00800593">
        <w:rPr>
          <w:rFonts w:ascii="Century Gothic" w:eastAsia="Century Gothic" w:hAnsi="Century Gothic" w:cs="Century Gothic"/>
        </w:rPr>
        <w:t xml:space="preserve">etência, pertencente a órgão da </w:t>
      </w:r>
      <w:r w:rsidR="00800593" w:rsidRPr="00800593">
        <w:rPr>
          <w:rFonts w:ascii="Century Gothic" w:eastAsia="Century Gothic" w:hAnsi="Century Gothic" w:cs="Century Gothic"/>
        </w:rPr>
        <w:t>Administração Pública ou por ele credenciado, com acreditação do INMETRO, vinculado à Rede</w:t>
      </w:r>
      <w:r w:rsidR="00800593">
        <w:rPr>
          <w:rFonts w:ascii="Century Gothic" w:eastAsia="Century Gothic" w:hAnsi="Century Gothic" w:cs="Century Gothic"/>
        </w:rPr>
        <w:t xml:space="preserve"> </w:t>
      </w:r>
      <w:r w:rsidR="00AB071D" w:rsidRPr="00AB071D">
        <w:rPr>
          <w:rFonts w:ascii="Century Gothic" w:eastAsia="Century Gothic" w:hAnsi="Century Gothic" w:cs="Century Gothic"/>
        </w:rPr>
        <w:t>Brasi</w:t>
      </w:r>
      <w:r w:rsidR="00AB071D">
        <w:rPr>
          <w:rFonts w:ascii="Century Gothic" w:eastAsia="Century Gothic" w:hAnsi="Century Gothic" w:cs="Century Gothic"/>
        </w:rPr>
        <w:t xml:space="preserve">leira de Laboratórios de Ensaio </w:t>
      </w:r>
      <w:r w:rsidR="00AB071D" w:rsidRPr="00AB071D">
        <w:rPr>
          <w:rFonts w:ascii="Century Gothic" w:eastAsia="Century Gothic" w:hAnsi="Century Gothic" w:cs="Century Gothic"/>
        </w:rPr>
        <w:t>(RBLE), com escopo de acreditação na norma brasileira ABNT NBR/ISO/IEC 17025, para</w:t>
      </w:r>
      <w:r w:rsidR="00AB071D">
        <w:rPr>
          <w:rFonts w:ascii="Century Gothic" w:eastAsia="Century Gothic" w:hAnsi="Century Gothic" w:cs="Century Gothic"/>
        </w:rPr>
        <w:t xml:space="preserve"> </w:t>
      </w:r>
      <w:r w:rsidR="00AB071D" w:rsidRPr="00AB071D">
        <w:rPr>
          <w:rFonts w:ascii="Century Gothic" w:eastAsia="Century Gothic" w:hAnsi="Century Gothic" w:cs="Century Gothic"/>
        </w:rPr>
        <w:t xml:space="preserve">realização de ensaios ópticos comparativos com um cartucho / </w:t>
      </w:r>
      <w:proofErr w:type="spellStart"/>
      <w:r w:rsidR="00AB071D" w:rsidRPr="00AB071D">
        <w:rPr>
          <w:rFonts w:ascii="Century Gothic" w:eastAsia="Century Gothic" w:hAnsi="Century Gothic" w:cs="Century Gothic"/>
        </w:rPr>
        <w:t>t</w:t>
      </w:r>
      <w:r w:rsidR="00AB071D">
        <w:rPr>
          <w:rFonts w:ascii="Century Gothic" w:eastAsia="Century Gothic" w:hAnsi="Century Gothic" w:cs="Century Gothic"/>
        </w:rPr>
        <w:t>onner</w:t>
      </w:r>
      <w:proofErr w:type="spellEnd"/>
      <w:r w:rsidR="00AB071D">
        <w:rPr>
          <w:rFonts w:ascii="Century Gothic" w:eastAsia="Century Gothic" w:hAnsi="Century Gothic" w:cs="Century Gothic"/>
        </w:rPr>
        <w:t xml:space="preserve"> original do fabricante da </w:t>
      </w:r>
      <w:r w:rsidR="00AB071D" w:rsidRPr="00AB071D">
        <w:rPr>
          <w:rFonts w:ascii="Century Gothic" w:eastAsia="Century Gothic" w:hAnsi="Century Gothic" w:cs="Century Gothic"/>
        </w:rPr>
        <w:t>impressora a que se destina e também com as normas brasileir</w:t>
      </w:r>
      <w:r w:rsidR="00AB071D">
        <w:rPr>
          <w:rFonts w:ascii="Century Gothic" w:eastAsia="Century Gothic" w:hAnsi="Century Gothic" w:cs="Century Gothic"/>
        </w:rPr>
        <w:t xml:space="preserve">as ABNT NBR ISO/IEC 24711:2007, </w:t>
      </w:r>
      <w:r w:rsidR="00AB071D" w:rsidRPr="00AB071D">
        <w:rPr>
          <w:rFonts w:ascii="Century Gothic" w:eastAsia="Century Gothic" w:hAnsi="Century Gothic" w:cs="Century Gothic"/>
        </w:rPr>
        <w:t>ABNT NBR ISO/IEC 24712:2007, ABNT NBR ISO/IE</w:t>
      </w:r>
      <w:r w:rsidR="00AB071D">
        <w:rPr>
          <w:rFonts w:ascii="Century Gothic" w:eastAsia="Century Gothic" w:hAnsi="Century Gothic" w:cs="Century Gothic"/>
        </w:rPr>
        <w:t xml:space="preserve">C 19752:2006 e ABNT NBR ISO/IEC </w:t>
      </w:r>
      <w:r w:rsidR="00AB071D" w:rsidRPr="00AB071D">
        <w:rPr>
          <w:rFonts w:ascii="Century Gothic" w:eastAsia="Century Gothic" w:hAnsi="Century Gothic" w:cs="Century Gothic"/>
        </w:rPr>
        <w:t>19798:2008</w:t>
      </w:r>
      <w:r w:rsidR="00AB071D">
        <w:rPr>
          <w:rFonts w:ascii="Century Gothic" w:eastAsia="Century Gothic" w:hAnsi="Century Gothic" w:cs="Century Gothic"/>
        </w:rPr>
        <w:t xml:space="preserve">, </w:t>
      </w:r>
      <w:r w:rsidR="007110D7">
        <w:rPr>
          <w:rFonts w:ascii="Century Gothic" w:eastAsia="Century Gothic" w:hAnsi="Century Gothic" w:cs="Century Gothic"/>
        </w:rPr>
        <w:t>para que o present</w:t>
      </w:r>
      <w:r w:rsidR="00552374">
        <w:rPr>
          <w:rFonts w:ascii="Century Gothic" w:eastAsia="Century Gothic" w:hAnsi="Century Gothic" w:cs="Century Gothic"/>
        </w:rPr>
        <w:t xml:space="preserve">e edital seja </w:t>
      </w:r>
      <w:r w:rsidR="00552374" w:rsidRPr="00AB071D">
        <w:rPr>
          <w:rFonts w:ascii="Century Gothic" w:eastAsia="Century Gothic" w:hAnsi="Century Gothic" w:cs="Century Gothic"/>
          <w:b/>
        </w:rPr>
        <w:t>SUSPENSO,</w:t>
      </w:r>
      <w:r w:rsidR="00552374">
        <w:rPr>
          <w:rFonts w:ascii="Century Gothic" w:eastAsia="Century Gothic" w:hAnsi="Century Gothic" w:cs="Century Gothic"/>
        </w:rPr>
        <w:t xml:space="preserve"> e que se façam as dev</w:t>
      </w:r>
      <w:r w:rsidR="00AB071D">
        <w:rPr>
          <w:rFonts w:ascii="Century Gothic" w:eastAsia="Century Gothic" w:hAnsi="Century Gothic" w:cs="Century Gothic"/>
        </w:rPr>
        <w:t xml:space="preserve">idas alterações, incluindo-se </w:t>
      </w:r>
      <w:r w:rsidR="00C64B76">
        <w:rPr>
          <w:rFonts w:ascii="Century Gothic" w:eastAsia="Century Gothic" w:hAnsi="Century Gothic" w:cs="Century Gothic"/>
        </w:rPr>
        <w:t>a exigência do</w:t>
      </w:r>
      <w:r w:rsidR="00DF205B">
        <w:rPr>
          <w:rFonts w:ascii="Century Gothic" w:eastAsia="Century Gothic" w:hAnsi="Century Gothic" w:cs="Century Gothic"/>
        </w:rPr>
        <w:t xml:space="preserve"> </w:t>
      </w:r>
      <w:r w:rsidR="00AB071D">
        <w:rPr>
          <w:rFonts w:ascii="Century Gothic" w:eastAsia="Century Gothic" w:hAnsi="Century Gothic" w:cs="Century Gothic"/>
        </w:rPr>
        <w:t>documento</w:t>
      </w:r>
      <w:r w:rsidR="00C64B76">
        <w:rPr>
          <w:rFonts w:ascii="Century Gothic" w:eastAsia="Century Gothic" w:hAnsi="Century Gothic" w:cs="Century Gothic"/>
        </w:rPr>
        <w:t xml:space="preserve"> </w:t>
      </w:r>
      <w:r w:rsidR="00C64B76" w:rsidRPr="00DF205B">
        <w:rPr>
          <w:rFonts w:ascii="Century Gothic" w:eastAsia="Century Gothic" w:hAnsi="Century Gothic" w:cs="Century Gothic"/>
          <w:b/>
        </w:rPr>
        <w:t>laudo técnico</w:t>
      </w:r>
      <w:r w:rsidR="00DF205B">
        <w:rPr>
          <w:rFonts w:ascii="Century Gothic" w:eastAsia="Century Gothic" w:hAnsi="Century Gothic" w:cs="Century Gothic"/>
        </w:rPr>
        <w:t xml:space="preserve">, no entanto, </w:t>
      </w:r>
      <w:r w:rsidR="00C64B76">
        <w:rPr>
          <w:rFonts w:ascii="Century Gothic" w:eastAsia="Century Gothic" w:hAnsi="Century Gothic" w:cs="Century Gothic"/>
        </w:rPr>
        <w:t xml:space="preserve">para </w:t>
      </w:r>
      <w:r w:rsidR="00C64B76" w:rsidRPr="00C64B76">
        <w:rPr>
          <w:rFonts w:ascii="Century Gothic" w:eastAsia="Century Gothic" w:hAnsi="Century Gothic" w:cs="Century Gothic"/>
          <w:b/>
        </w:rPr>
        <w:t>FINS DE CONTRATAÇ</w:t>
      </w:r>
      <w:r w:rsidR="00DF205B">
        <w:rPr>
          <w:rFonts w:ascii="Century Gothic" w:eastAsia="Century Gothic" w:hAnsi="Century Gothic" w:cs="Century Gothic"/>
          <w:b/>
        </w:rPr>
        <w:t xml:space="preserve">ÃO, </w:t>
      </w:r>
      <w:r w:rsidR="00DF205B" w:rsidRPr="00DF205B">
        <w:rPr>
          <w:rFonts w:ascii="Century Gothic" w:eastAsia="Century Gothic" w:hAnsi="Century Gothic" w:cs="Century Gothic"/>
        </w:rPr>
        <w:t xml:space="preserve">e referente à exigência de </w:t>
      </w:r>
      <w:r w:rsidR="00DF205B">
        <w:rPr>
          <w:rFonts w:ascii="Century Gothic" w:eastAsia="Century Gothic" w:hAnsi="Century Gothic" w:cs="Century Gothic"/>
        </w:rPr>
        <w:t xml:space="preserve">o documento </w:t>
      </w:r>
      <w:r w:rsidR="00DF205B" w:rsidRPr="00DF205B">
        <w:rPr>
          <w:rFonts w:ascii="Century Gothic" w:eastAsia="Century Gothic" w:hAnsi="Century Gothic" w:cs="Century Gothic"/>
          <w:b/>
        </w:rPr>
        <w:t>Certificado de Licença Ambienta</w:t>
      </w:r>
      <w:r w:rsidR="00DF205B">
        <w:rPr>
          <w:rFonts w:ascii="Century Gothic" w:eastAsia="Century Gothic" w:hAnsi="Century Gothic" w:cs="Century Gothic"/>
        </w:rPr>
        <w:t xml:space="preserve">l citado pela impugnante, </w:t>
      </w:r>
      <w:r w:rsidR="00DF205B" w:rsidRPr="00DF205B">
        <w:rPr>
          <w:rFonts w:ascii="Century Gothic" w:eastAsia="Century Gothic" w:hAnsi="Century Gothic" w:cs="Century Gothic"/>
        </w:rPr>
        <w:t xml:space="preserve">já consta </w:t>
      </w:r>
      <w:r w:rsidR="00DF205B">
        <w:rPr>
          <w:rFonts w:ascii="Century Gothic" w:eastAsia="Century Gothic" w:hAnsi="Century Gothic" w:cs="Century Gothic"/>
        </w:rPr>
        <w:t xml:space="preserve">exigência </w:t>
      </w:r>
      <w:r w:rsidR="00DF205B" w:rsidRPr="00DF205B">
        <w:rPr>
          <w:rFonts w:ascii="Century Gothic" w:eastAsia="Century Gothic" w:hAnsi="Century Gothic" w:cs="Century Gothic"/>
        </w:rPr>
        <w:t>no Edital.</w:t>
      </w:r>
    </w:p>
    <w:p w14:paraId="3A1DE102" w14:textId="1EEA8A66" w:rsidR="00DF205B" w:rsidRDefault="00A82D8B" w:rsidP="007D196F">
      <w:pPr>
        <w:spacing w:before="240" w:line="240" w:lineRule="auto"/>
        <w:jc w:val="both"/>
        <w:rPr>
          <w:rFonts w:ascii="Century Gothic" w:eastAsia="Century Gothic" w:hAnsi="Century Gothic" w:cs="Century Gothic"/>
        </w:rPr>
      </w:pPr>
      <w:r w:rsidRPr="00A82D8B">
        <w:rPr>
          <w:rFonts w:ascii="Century Gothic" w:eastAsia="Century Gothic" w:hAnsi="Century Gothic" w:cs="Century Gothic"/>
          <w:b/>
        </w:rPr>
        <w:t>3.4.</w:t>
      </w:r>
      <w:r>
        <w:rPr>
          <w:rFonts w:ascii="Century Gothic" w:eastAsia="Century Gothic" w:hAnsi="Century Gothic" w:cs="Century Gothic"/>
        </w:rPr>
        <w:t xml:space="preserve"> </w:t>
      </w:r>
      <w:r w:rsidRPr="00A82D8B">
        <w:rPr>
          <w:rFonts w:ascii="Century Gothic" w:eastAsia="Century Gothic" w:hAnsi="Century Gothic" w:cs="Century Gothic"/>
        </w:rPr>
        <w:t>Deve-se ressaltar que</w:t>
      </w:r>
      <w:r w:rsidR="00AB071D">
        <w:rPr>
          <w:rFonts w:ascii="Century Gothic" w:eastAsia="Century Gothic" w:hAnsi="Century Gothic" w:cs="Century Gothic"/>
        </w:rPr>
        <w:t xml:space="preserve"> o referido documento incluso, fará</w:t>
      </w:r>
      <w:r>
        <w:rPr>
          <w:rFonts w:ascii="Century Gothic" w:eastAsia="Century Gothic" w:hAnsi="Century Gothic" w:cs="Century Gothic"/>
        </w:rPr>
        <w:t xml:space="preserve"> parte dos documentos que serão solicitados </w:t>
      </w:r>
      <w:r w:rsidRPr="00A82D8B">
        <w:rPr>
          <w:rFonts w:ascii="Century Gothic" w:eastAsia="Century Gothic" w:hAnsi="Century Gothic" w:cs="Century Gothic"/>
          <w:b/>
        </w:rPr>
        <w:t>PARA FINS DE CONTRATAÇÃO:</w:t>
      </w:r>
      <w:r w:rsidR="00C64B76">
        <w:rPr>
          <w:rFonts w:ascii="Century Gothic" w:eastAsia="Century Gothic" w:hAnsi="Century Gothic" w:cs="Century Gothic"/>
        </w:rPr>
        <w:t xml:space="preserve"> (A documentação, neste caso, </w:t>
      </w:r>
      <w:r w:rsidRPr="00A82D8B">
        <w:rPr>
          <w:rFonts w:ascii="Century Gothic" w:eastAsia="Century Gothic" w:hAnsi="Century Gothic" w:cs="Century Gothic"/>
        </w:rPr>
        <w:t>deverá ser apresentada em até 02 (dois) dias úteis contados a partir da Homologação do Processo Administrativo), sendo que a ausência de apresentação implicará na desclassificação, sem prejuízo das sanções previstas na Lei Federal nº 14.133/2021.</w:t>
      </w:r>
    </w:p>
    <w:p w14:paraId="26CC3190" w14:textId="77777777" w:rsidR="00DF205B" w:rsidRDefault="00DF205B" w:rsidP="007D196F">
      <w:pPr>
        <w:spacing w:before="240" w:line="240" w:lineRule="auto"/>
        <w:jc w:val="both"/>
        <w:rPr>
          <w:rFonts w:ascii="Century Gothic" w:eastAsia="Century Gothic" w:hAnsi="Century Gothic" w:cs="Century Gothic"/>
        </w:rPr>
      </w:pPr>
    </w:p>
    <w:p w14:paraId="00000037" w14:textId="4007D111" w:rsidR="00B51DEB" w:rsidRDefault="00552374" w:rsidP="00DF205B">
      <w:pPr>
        <w:spacing w:line="240" w:lineRule="auto"/>
        <w:jc w:val="both"/>
        <w:rPr>
          <w:rFonts w:ascii="Century Gothic" w:eastAsia="Century Gothic" w:hAnsi="Century Gothic" w:cs="Century Gothic"/>
          <w:b/>
        </w:rPr>
      </w:pPr>
      <w:r>
        <w:rPr>
          <w:rFonts w:ascii="Century Gothic" w:eastAsia="Century Gothic" w:hAnsi="Century Gothic" w:cs="Century Gothic"/>
          <w:b/>
        </w:rPr>
        <w:t>4</w:t>
      </w:r>
      <w:r w:rsidR="00C64CBD">
        <w:rPr>
          <w:rFonts w:ascii="Century Gothic" w:eastAsia="Century Gothic" w:hAnsi="Century Gothic" w:cs="Century Gothic"/>
          <w:b/>
        </w:rPr>
        <w:t>.</w:t>
      </w:r>
      <w:r w:rsidR="008A5C51">
        <w:rPr>
          <w:rFonts w:ascii="Century Gothic" w:eastAsia="Century Gothic" w:hAnsi="Century Gothic" w:cs="Century Gothic"/>
          <w:b/>
        </w:rPr>
        <w:t xml:space="preserve">  DA DECISÃO</w:t>
      </w:r>
    </w:p>
    <w:p w14:paraId="00000038" w14:textId="1CA6F1A4" w:rsidR="00B51DEB" w:rsidRDefault="00552374" w:rsidP="00DF205B">
      <w:pPr>
        <w:spacing w:line="240" w:lineRule="auto"/>
        <w:jc w:val="both"/>
        <w:rPr>
          <w:rFonts w:ascii="Century Gothic" w:eastAsia="Century Gothic" w:hAnsi="Century Gothic" w:cs="Century Gothic"/>
        </w:rPr>
      </w:pPr>
      <w:r>
        <w:rPr>
          <w:rFonts w:ascii="Century Gothic" w:eastAsia="Century Gothic" w:hAnsi="Century Gothic" w:cs="Century Gothic"/>
          <w:b/>
        </w:rPr>
        <w:t>4.1.</w:t>
      </w:r>
      <w:r w:rsidR="00C64CBD">
        <w:rPr>
          <w:rFonts w:ascii="Century Gothic" w:eastAsia="Century Gothic" w:hAnsi="Century Gothic" w:cs="Century Gothic"/>
          <w:b/>
        </w:rPr>
        <w:t xml:space="preserve"> </w:t>
      </w:r>
      <w:r w:rsidR="008A5C51">
        <w:rPr>
          <w:rFonts w:ascii="Century Gothic" w:eastAsia="Century Gothic" w:hAnsi="Century Gothic" w:cs="Century Gothic"/>
        </w:rPr>
        <w:t xml:space="preserve">Ante o exposto, ancorado na justificativa apresentada em atendimento à legislação aplicável e as necessidades do Município de Lobato, o presente edital PE n° </w:t>
      </w:r>
      <w:r>
        <w:rPr>
          <w:rFonts w:ascii="Century Gothic" w:eastAsia="Century Gothic" w:hAnsi="Century Gothic" w:cs="Century Gothic"/>
        </w:rPr>
        <w:t>7/2025</w:t>
      </w:r>
      <w:r w:rsidR="008A5C51">
        <w:rPr>
          <w:rFonts w:ascii="Century Gothic" w:eastAsia="Century Gothic" w:hAnsi="Century Gothic" w:cs="Century Gothic"/>
        </w:rPr>
        <w:t xml:space="preserve"> será </w:t>
      </w:r>
      <w:r>
        <w:rPr>
          <w:rFonts w:ascii="Century Gothic" w:eastAsia="Century Gothic" w:hAnsi="Century Gothic" w:cs="Century Gothic"/>
        </w:rPr>
        <w:t>retificado</w:t>
      </w:r>
      <w:r w:rsidR="008A5C51">
        <w:rPr>
          <w:rFonts w:ascii="Century Gothic" w:eastAsia="Century Gothic" w:hAnsi="Century Gothic" w:cs="Century Gothic"/>
        </w:rPr>
        <w:t>, merecendo prosperar os argumentos apresentados em peça pela Impugnante</w:t>
      </w:r>
      <w:r>
        <w:rPr>
          <w:rFonts w:ascii="Century Gothic" w:eastAsia="Century Gothic" w:hAnsi="Century Gothic" w:cs="Century Gothic"/>
        </w:rPr>
        <w:t xml:space="preserve"> </w:t>
      </w:r>
      <w:r w:rsidRPr="00552374">
        <w:rPr>
          <w:rFonts w:ascii="Century Gothic" w:eastAsia="Century Gothic" w:hAnsi="Century Gothic" w:cs="Century Gothic"/>
          <w:b/>
        </w:rPr>
        <w:t>TECTONER RECARGA DE TONER LTDA</w:t>
      </w:r>
      <w:r w:rsidR="008A5C51">
        <w:rPr>
          <w:rFonts w:ascii="Century Gothic" w:eastAsia="Century Gothic" w:hAnsi="Century Gothic" w:cs="Century Gothic"/>
          <w:b/>
        </w:rPr>
        <w:t xml:space="preserve">, </w:t>
      </w:r>
      <w:r w:rsidR="008A5C51" w:rsidRPr="00552374">
        <w:rPr>
          <w:rFonts w:ascii="Century Gothic" w:eastAsia="Century Gothic" w:hAnsi="Century Gothic" w:cs="Century Gothic"/>
        </w:rPr>
        <w:t xml:space="preserve">pessoa jurídica de direito privado, inscrita no CNPJ nº </w:t>
      </w:r>
      <w:r w:rsidRPr="00552374">
        <w:rPr>
          <w:rFonts w:ascii="Century Gothic" w:eastAsia="Century Gothic" w:hAnsi="Century Gothic" w:cs="Century Gothic"/>
        </w:rPr>
        <w:t>01.027.088/0001-06</w:t>
      </w:r>
      <w:r w:rsidR="008A5C51" w:rsidRPr="00552374">
        <w:rPr>
          <w:rFonts w:ascii="Century Gothic" w:eastAsia="Century Gothic" w:hAnsi="Century Gothic" w:cs="Century Gothic"/>
        </w:rPr>
        <w:t xml:space="preserve">, </w:t>
      </w:r>
      <w:r w:rsidR="008A5C51">
        <w:rPr>
          <w:rFonts w:ascii="Century Gothic" w:eastAsia="Century Gothic" w:hAnsi="Century Gothic" w:cs="Century Gothic"/>
          <w:b/>
          <w:u w:val="single"/>
        </w:rPr>
        <w:t xml:space="preserve">CONHEÇO </w:t>
      </w:r>
      <w:r w:rsidR="008A5C51">
        <w:rPr>
          <w:rFonts w:ascii="Century Gothic" w:eastAsia="Century Gothic" w:hAnsi="Century Gothic" w:cs="Century Gothic"/>
        </w:rPr>
        <w:t xml:space="preserve">a impugnação interposta, em atenção ao Princípio da Autotutela Administrativa, e, quanto ao mérito, entende-se pela sua </w:t>
      </w:r>
      <w:r w:rsidR="008A5C51">
        <w:rPr>
          <w:rFonts w:ascii="Century Gothic" w:eastAsia="Century Gothic" w:hAnsi="Century Gothic" w:cs="Century Gothic"/>
          <w:b/>
          <w:u w:val="single"/>
        </w:rPr>
        <w:t>PROCEDÊNCIA</w:t>
      </w:r>
      <w:r>
        <w:rPr>
          <w:rFonts w:ascii="Century Gothic" w:eastAsia="Century Gothic" w:hAnsi="Century Gothic" w:cs="Century Gothic"/>
          <w:b/>
          <w:u w:val="single"/>
        </w:rPr>
        <w:t xml:space="preserve"> PARCIAL</w:t>
      </w:r>
      <w:r w:rsidR="008A5C51">
        <w:rPr>
          <w:rFonts w:ascii="Century Gothic" w:eastAsia="Century Gothic" w:hAnsi="Century Gothic" w:cs="Century Gothic"/>
          <w:b/>
          <w:u w:val="single"/>
        </w:rPr>
        <w:t xml:space="preserve">. </w:t>
      </w:r>
      <w:r w:rsidR="008A5C51">
        <w:rPr>
          <w:rFonts w:ascii="Century Gothic" w:eastAsia="Century Gothic" w:hAnsi="Century Gothic" w:cs="Century Gothic"/>
        </w:rPr>
        <w:t xml:space="preserve"> </w:t>
      </w:r>
    </w:p>
    <w:p w14:paraId="0000003B" w14:textId="392A8D77" w:rsidR="00B51DEB" w:rsidRDefault="008A5C51">
      <w:pPr>
        <w:spacing w:before="240" w:line="360" w:lineRule="auto"/>
        <w:jc w:val="right"/>
        <w:rPr>
          <w:rFonts w:ascii="Century Gothic" w:eastAsia="Century Gothic" w:hAnsi="Century Gothic" w:cs="Century Gothic"/>
        </w:rPr>
      </w:pPr>
      <w:r>
        <w:rPr>
          <w:rFonts w:ascii="Century Gothic" w:eastAsia="Century Gothic" w:hAnsi="Century Gothic" w:cs="Century Gothic"/>
        </w:rPr>
        <w:t xml:space="preserve">Lobato/PR, </w:t>
      </w:r>
      <w:r w:rsidR="00DF205B">
        <w:rPr>
          <w:rFonts w:ascii="Century Gothic" w:eastAsia="Century Gothic" w:hAnsi="Century Gothic" w:cs="Century Gothic"/>
        </w:rPr>
        <w:t>26</w:t>
      </w:r>
      <w:r w:rsidR="00C64CBD">
        <w:rPr>
          <w:rFonts w:ascii="Century Gothic" w:eastAsia="Century Gothic" w:hAnsi="Century Gothic" w:cs="Century Gothic"/>
        </w:rPr>
        <w:t xml:space="preserve"> </w:t>
      </w:r>
      <w:r w:rsidR="00DF205B">
        <w:rPr>
          <w:rFonts w:ascii="Century Gothic" w:eastAsia="Century Gothic" w:hAnsi="Century Gothic" w:cs="Century Gothic"/>
        </w:rPr>
        <w:t>de março de 2025</w:t>
      </w:r>
      <w:r>
        <w:rPr>
          <w:rFonts w:ascii="Century Gothic" w:eastAsia="Century Gothic" w:hAnsi="Century Gothic" w:cs="Century Gothic"/>
        </w:rPr>
        <w:t>.</w:t>
      </w:r>
    </w:p>
    <w:p w14:paraId="0000003C" w14:textId="77777777" w:rsidR="00B51DEB" w:rsidRDefault="008A5C51">
      <w:pPr>
        <w:spacing w:before="240" w:line="360" w:lineRule="auto"/>
        <w:jc w:val="both"/>
        <w:rPr>
          <w:rFonts w:ascii="Century Gothic" w:eastAsia="Century Gothic" w:hAnsi="Century Gothic" w:cs="Century Gothic"/>
          <w:b/>
        </w:rPr>
      </w:pPr>
      <w:r>
        <w:rPr>
          <w:rFonts w:ascii="Century Gothic" w:eastAsia="Century Gothic" w:hAnsi="Century Gothic" w:cs="Century Gothic"/>
          <w:b/>
        </w:rPr>
        <w:t xml:space="preserve"> </w:t>
      </w:r>
    </w:p>
    <w:p w14:paraId="5D07FB2E" w14:textId="77777777" w:rsidR="000A5DAF" w:rsidRDefault="000A5DAF">
      <w:pPr>
        <w:spacing w:before="240" w:line="360" w:lineRule="auto"/>
        <w:jc w:val="both"/>
        <w:rPr>
          <w:rFonts w:ascii="Century Gothic" w:eastAsia="Century Gothic" w:hAnsi="Century Gothic" w:cs="Century Gothic"/>
          <w:b/>
        </w:rPr>
      </w:pPr>
    </w:p>
    <w:p w14:paraId="6B9F5036" w14:textId="77777777" w:rsidR="00DF205B" w:rsidRDefault="00DF205B" w:rsidP="00DF205B">
      <w:pPr>
        <w:spacing w:line="240" w:lineRule="auto"/>
        <w:jc w:val="center"/>
        <w:rPr>
          <w:rFonts w:ascii="Century Gothic" w:hAnsi="Century Gothic" w:cs="Calibri"/>
        </w:rPr>
      </w:pPr>
      <w:r>
        <w:rPr>
          <w:rFonts w:ascii="Century Gothic" w:hAnsi="Century Gothic" w:cs="Calibri"/>
        </w:rPr>
        <w:t>___________________________________</w:t>
      </w:r>
    </w:p>
    <w:p w14:paraId="59D50D4B" w14:textId="77777777" w:rsidR="00DF205B" w:rsidRDefault="00DF205B" w:rsidP="00DF205B">
      <w:pPr>
        <w:spacing w:line="240" w:lineRule="auto"/>
        <w:jc w:val="center"/>
        <w:rPr>
          <w:rFonts w:ascii="Century Gothic" w:hAnsi="Century Gothic" w:cs="Calibri"/>
        </w:rPr>
      </w:pPr>
      <w:r>
        <w:rPr>
          <w:rFonts w:ascii="Century Gothic" w:hAnsi="Century Gothic" w:cs="Calibri"/>
        </w:rPr>
        <w:t xml:space="preserve">MARLI DOS </w:t>
      </w:r>
      <w:proofErr w:type="gramStart"/>
      <w:r>
        <w:rPr>
          <w:rFonts w:ascii="Century Gothic" w:hAnsi="Century Gothic" w:cs="Calibri"/>
        </w:rPr>
        <w:t>SANTOS SILVA</w:t>
      </w:r>
      <w:proofErr w:type="gramEnd"/>
      <w:r>
        <w:rPr>
          <w:rFonts w:ascii="Century Gothic" w:hAnsi="Century Gothic" w:cs="Calibri"/>
        </w:rPr>
        <w:t xml:space="preserve"> BERGAMO</w:t>
      </w:r>
    </w:p>
    <w:p w14:paraId="5D6BE2D1" w14:textId="77777777" w:rsidR="00DF205B" w:rsidRPr="00336B01" w:rsidRDefault="00DF205B" w:rsidP="00DF205B">
      <w:pPr>
        <w:spacing w:line="240" w:lineRule="auto"/>
        <w:jc w:val="center"/>
        <w:rPr>
          <w:rFonts w:ascii="Century Gothic" w:hAnsi="Century Gothic" w:cs="Calibri"/>
          <w:b/>
          <w:sz w:val="20"/>
          <w:szCs w:val="20"/>
        </w:rPr>
      </w:pPr>
      <w:r w:rsidRPr="00336B01">
        <w:rPr>
          <w:rFonts w:ascii="Century Gothic" w:hAnsi="Century Gothic" w:cs="Calibri"/>
          <w:b/>
          <w:sz w:val="20"/>
          <w:szCs w:val="20"/>
        </w:rPr>
        <w:t>Presidente da Comissão de Contratação</w:t>
      </w:r>
    </w:p>
    <w:p w14:paraId="0EE94D56" w14:textId="77777777" w:rsidR="00DF205B" w:rsidRPr="002A4314" w:rsidRDefault="00DF205B" w:rsidP="00DF205B">
      <w:pPr>
        <w:spacing w:line="240" w:lineRule="auto"/>
        <w:jc w:val="center"/>
        <w:rPr>
          <w:rFonts w:ascii="Century Gothic" w:hAnsi="Century Gothic" w:cs="Calibri"/>
          <w:b/>
          <w:sz w:val="14"/>
          <w:szCs w:val="14"/>
        </w:rPr>
      </w:pPr>
      <w:r>
        <w:rPr>
          <w:rFonts w:ascii="Century Gothic" w:hAnsi="Century Gothic" w:cs="Calibri"/>
          <w:b/>
          <w:sz w:val="14"/>
          <w:szCs w:val="14"/>
        </w:rPr>
        <w:t>Decreto Municipal Nº 17/2025 de 27/01/2025</w:t>
      </w:r>
      <w:r w:rsidRPr="002A4314">
        <w:rPr>
          <w:rFonts w:ascii="Century Gothic" w:hAnsi="Century Gothic" w:cs="Calibri"/>
          <w:b/>
          <w:sz w:val="14"/>
          <w:szCs w:val="14"/>
        </w:rPr>
        <w:t xml:space="preserve">-PML </w:t>
      </w:r>
    </w:p>
    <w:p w14:paraId="46B3014F" w14:textId="77777777" w:rsidR="00C64CBD" w:rsidRDefault="00C64CBD" w:rsidP="00DF205B">
      <w:pPr>
        <w:spacing w:before="240" w:line="360" w:lineRule="auto"/>
        <w:jc w:val="center"/>
        <w:rPr>
          <w:rFonts w:ascii="Century Gothic" w:eastAsia="Century Gothic" w:hAnsi="Century Gothic" w:cs="Century Gothic"/>
          <w:b/>
        </w:rPr>
      </w:pPr>
    </w:p>
    <w:p w14:paraId="0000003E" w14:textId="77777777" w:rsidR="00B51DEB" w:rsidRDefault="00B51DEB">
      <w:pPr>
        <w:spacing w:line="240" w:lineRule="auto"/>
        <w:rPr>
          <w:rFonts w:ascii="Century Gothic" w:eastAsia="Century Gothic" w:hAnsi="Century Gothic" w:cs="Century Gothic"/>
        </w:rPr>
      </w:pPr>
    </w:p>
    <w:p w14:paraId="0000003F" w14:textId="77777777" w:rsidR="00B51DEB" w:rsidRDefault="00B51DEB">
      <w:pPr>
        <w:spacing w:line="240" w:lineRule="auto"/>
        <w:rPr>
          <w:rFonts w:ascii="Century Gothic" w:eastAsia="Century Gothic" w:hAnsi="Century Gothic" w:cs="Century Gothic"/>
        </w:rPr>
      </w:pPr>
    </w:p>
    <w:p w14:paraId="18E074AD" w14:textId="77777777" w:rsidR="000A5DAF" w:rsidRDefault="000A5DAF">
      <w:pPr>
        <w:spacing w:line="240" w:lineRule="auto"/>
        <w:rPr>
          <w:rFonts w:ascii="Century Gothic" w:eastAsia="Century Gothic" w:hAnsi="Century Gothic" w:cs="Century Gothic"/>
        </w:rPr>
      </w:pPr>
    </w:p>
    <w:p w14:paraId="7E6FCDEF" w14:textId="77777777" w:rsidR="000A5DAF" w:rsidRDefault="000A5DAF">
      <w:pPr>
        <w:spacing w:line="240" w:lineRule="auto"/>
        <w:rPr>
          <w:rFonts w:ascii="Century Gothic" w:eastAsia="Century Gothic" w:hAnsi="Century Gothic" w:cs="Century Gothic"/>
        </w:rPr>
      </w:pPr>
    </w:p>
    <w:p w14:paraId="6125A9C1" w14:textId="77777777" w:rsidR="000A5DAF" w:rsidRDefault="000A5DAF">
      <w:pPr>
        <w:spacing w:line="240" w:lineRule="auto"/>
        <w:rPr>
          <w:rFonts w:ascii="Century Gothic" w:eastAsia="Century Gothic" w:hAnsi="Century Gothic" w:cs="Century Gothic"/>
        </w:rPr>
      </w:pPr>
    </w:p>
    <w:p w14:paraId="00000040" w14:textId="77777777" w:rsidR="00B51DEB" w:rsidRDefault="00B51DEB">
      <w:pPr>
        <w:spacing w:line="240" w:lineRule="auto"/>
        <w:ind w:right="414"/>
        <w:rPr>
          <w:rFonts w:ascii="Century Gothic" w:eastAsia="Century Gothic" w:hAnsi="Century Gothic" w:cs="Century Gothic"/>
          <w:sz w:val="20"/>
          <w:szCs w:val="20"/>
        </w:rPr>
      </w:pPr>
    </w:p>
    <w:p w14:paraId="09ED0AD0" w14:textId="77777777" w:rsidR="00C64CBD" w:rsidRDefault="00C64CBD">
      <w:pPr>
        <w:spacing w:line="240" w:lineRule="auto"/>
        <w:ind w:right="414"/>
        <w:rPr>
          <w:rFonts w:ascii="Century Gothic" w:eastAsia="Century Gothic" w:hAnsi="Century Gothic" w:cs="Century Gothic"/>
          <w:sz w:val="20"/>
          <w:szCs w:val="20"/>
        </w:rPr>
      </w:pPr>
    </w:p>
    <w:sectPr w:rsidR="00C64CBD" w:rsidSect="00506109">
      <w:headerReference w:type="default" r:id="rId9"/>
      <w:footerReference w:type="default" r:id="rId10"/>
      <w:pgSz w:w="11909" w:h="16834"/>
      <w:pgMar w:top="1808" w:right="1440" w:bottom="1440" w:left="1417" w:header="142"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B93C7A" w14:textId="77777777" w:rsidR="00C64B76" w:rsidRDefault="00C64B76" w:rsidP="00506109">
      <w:pPr>
        <w:spacing w:line="240" w:lineRule="auto"/>
      </w:pPr>
      <w:r>
        <w:separator/>
      </w:r>
    </w:p>
  </w:endnote>
  <w:endnote w:type="continuationSeparator" w:id="0">
    <w:p w14:paraId="6BDF846B" w14:textId="77777777" w:rsidR="00C64B76" w:rsidRDefault="00C64B76" w:rsidP="005061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altName w:val="Century Gothic"/>
    <w:panose1 w:val="020B0502020202020204"/>
    <w:charset w:val="00"/>
    <w:family w:val="swiss"/>
    <w:pitch w:val="variable"/>
    <w:sig w:usb0="00000287" w:usb1="00000000" w:usb2="00000000" w:usb3="00000000" w:csb0="0000009F" w:csb1="00000000"/>
  </w:font>
  <w:font w:name="ArialNarrow">
    <w:panose1 w:val="00000000000000000000"/>
    <w:charset w:val="00"/>
    <w:family w:val="swiss"/>
    <w:notTrueType/>
    <w:pitch w:val="default"/>
    <w:sig w:usb0="00000003" w:usb1="00000000" w:usb2="00000000" w:usb3="00000000" w:csb0="00000001" w:csb1="00000000"/>
  </w:font>
  <w:font w:name="ArialNarrow-Bold">
    <w:panose1 w:val="00000000000000000000"/>
    <w:charset w:val="00"/>
    <w:family w:val="swiss"/>
    <w:notTrueType/>
    <w:pitch w:val="default"/>
    <w:sig w:usb0="00000003" w:usb1="00000000" w:usb2="00000000" w:usb3="00000000" w:csb0="00000001" w:csb1="00000000"/>
  </w:font>
  <w:font w:name="ArialNarrow-BoldItalic">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1850714"/>
      <w:docPartObj>
        <w:docPartGallery w:val="Page Numbers (Bottom of Page)"/>
        <w:docPartUnique/>
      </w:docPartObj>
    </w:sdtPr>
    <w:sdtContent>
      <w:sdt>
        <w:sdtPr>
          <w:id w:val="860082579"/>
          <w:docPartObj>
            <w:docPartGallery w:val="Page Numbers (Top of Page)"/>
            <w:docPartUnique/>
          </w:docPartObj>
        </w:sdtPr>
        <w:sdtContent>
          <w:p w14:paraId="24284CF2" w14:textId="7D2BAD42" w:rsidR="00C64B76" w:rsidRDefault="00C64B76" w:rsidP="00506109">
            <w:pPr>
              <w:pStyle w:val="Rodap"/>
              <w:tabs>
                <w:tab w:val="clear" w:pos="4252"/>
                <w:tab w:val="clear" w:pos="8504"/>
              </w:tabs>
              <w:ind w:right="-587"/>
              <w:jc w:val="right"/>
            </w:pPr>
            <w:r>
              <w:rPr>
                <w:noProof/>
              </w:rPr>
              <w:drawing>
                <wp:anchor distT="0" distB="0" distL="114300" distR="114300" simplePos="0" relativeHeight="251658240" behindDoc="1" locked="0" layoutInCell="1" allowOverlap="1" wp14:anchorId="2BC47F68" wp14:editId="3B038738">
                  <wp:simplePos x="0" y="0"/>
                  <wp:positionH relativeFrom="column">
                    <wp:posOffset>-928370</wp:posOffset>
                  </wp:positionH>
                  <wp:positionV relativeFrom="paragraph">
                    <wp:posOffset>-478790</wp:posOffset>
                  </wp:positionV>
                  <wp:extent cx="6648450" cy="1251585"/>
                  <wp:effectExtent l="0" t="0" r="0" b="5715"/>
                  <wp:wrapThrough wrapText="bothSides">
                    <wp:wrapPolygon edited="0">
                      <wp:start x="0" y="0"/>
                      <wp:lineTo x="0" y="21370"/>
                      <wp:lineTo x="21538" y="21370"/>
                      <wp:lineTo x="21538" y="0"/>
                      <wp:lineTo x="0" y="0"/>
                    </wp:wrapPolygon>
                  </wp:wrapThrough>
                  <wp:docPr id="10" name="Imagem 10"/>
                  <wp:cNvGraphicFramePr/>
                  <a:graphic xmlns:a="http://schemas.openxmlformats.org/drawingml/2006/main">
                    <a:graphicData uri="http://schemas.openxmlformats.org/drawingml/2006/picture">
                      <pic:pic xmlns:pic="http://schemas.openxmlformats.org/drawingml/2006/picture">
                        <pic:nvPicPr>
                          <pic:cNvPr id="3" name="Imagem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6648450" cy="1251585"/>
                          </a:xfrm>
                          <a:prstGeom prst="rect">
                            <a:avLst/>
                          </a:prstGeom>
                        </pic:spPr>
                      </pic:pic>
                    </a:graphicData>
                  </a:graphic>
                  <wp14:sizeRelH relativeFrom="page">
                    <wp14:pctWidth>0</wp14:pctWidth>
                  </wp14:sizeRelH>
                  <wp14:sizeRelV relativeFrom="page">
                    <wp14:pctHeight>0</wp14:pctHeight>
                  </wp14:sizeRelV>
                </wp:anchor>
              </w:drawing>
            </w:r>
            <w:r>
              <w:rPr>
                <w:b/>
                <w:bCs/>
                <w:sz w:val="24"/>
                <w:szCs w:val="24"/>
              </w:rPr>
              <w:fldChar w:fldCharType="begin"/>
            </w:r>
            <w:r>
              <w:rPr>
                <w:b/>
                <w:bCs/>
              </w:rPr>
              <w:instrText>PAGE</w:instrText>
            </w:r>
            <w:r>
              <w:rPr>
                <w:b/>
                <w:bCs/>
                <w:sz w:val="24"/>
                <w:szCs w:val="24"/>
              </w:rPr>
              <w:fldChar w:fldCharType="separate"/>
            </w:r>
            <w:r w:rsidR="00DF205B">
              <w:rPr>
                <w:b/>
                <w:bCs/>
                <w:noProof/>
              </w:rPr>
              <w:t>1</w:t>
            </w:r>
            <w:r>
              <w:rPr>
                <w:b/>
                <w:bCs/>
                <w:sz w:val="24"/>
                <w:szCs w:val="24"/>
              </w:rPr>
              <w:fldChar w:fldCharType="end"/>
            </w:r>
            <w:r>
              <w:t>/</w:t>
            </w:r>
            <w:r>
              <w:rPr>
                <w:b/>
                <w:bCs/>
                <w:sz w:val="24"/>
                <w:szCs w:val="24"/>
              </w:rPr>
              <w:fldChar w:fldCharType="begin"/>
            </w:r>
            <w:r>
              <w:rPr>
                <w:b/>
                <w:bCs/>
              </w:rPr>
              <w:instrText>NUMPAGES</w:instrText>
            </w:r>
            <w:r>
              <w:rPr>
                <w:b/>
                <w:bCs/>
                <w:sz w:val="24"/>
                <w:szCs w:val="24"/>
              </w:rPr>
              <w:fldChar w:fldCharType="separate"/>
            </w:r>
            <w:r w:rsidR="00DF205B">
              <w:rPr>
                <w:b/>
                <w:bCs/>
                <w:noProof/>
              </w:rPr>
              <w:t>4</w:t>
            </w:r>
            <w:r>
              <w:rPr>
                <w:b/>
                <w:bCs/>
                <w:sz w:val="24"/>
                <w:szCs w:val="24"/>
              </w:rPr>
              <w:fldChar w:fldCharType="end"/>
            </w:r>
          </w:p>
        </w:sdtContent>
      </w:sdt>
    </w:sdtContent>
  </w:sdt>
  <w:p w14:paraId="11E9A423" w14:textId="099390EE" w:rsidR="00C64B76" w:rsidRDefault="00C64B76">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60156A" w14:textId="77777777" w:rsidR="00C64B76" w:rsidRDefault="00C64B76" w:rsidP="00506109">
      <w:pPr>
        <w:spacing w:line="240" w:lineRule="auto"/>
      </w:pPr>
      <w:r>
        <w:separator/>
      </w:r>
    </w:p>
  </w:footnote>
  <w:footnote w:type="continuationSeparator" w:id="0">
    <w:p w14:paraId="28636E7A" w14:textId="77777777" w:rsidR="00C64B76" w:rsidRDefault="00C64B76" w:rsidP="0050610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356EB7" w14:textId="7B3F2433" w:rsidR="00C64B76" w:rsidRDefault="00C64B76">
    <w:pPr>
      <w:pStyle w:val="Cabealho"/>
    </w:pPr>
    <w:r>
      <w:rPr>
        <w:noProof/>
      </w:rPr>
      <w:drawing>
        <wp:anchor distT="0" distB="0" distL="114300" distR="114300" simplePos="0" relativeHeight="251657216" behindDoc="1" locked="0" layoutInCell="1" allowOverlap="1" wp14:anchorId="6F4DCC8A" wp14:editId="2779359C">
          <wp:simplePos x="0" y="0"/>
          <wp:positionH relativeFrom="column">
            <wp:posOffset>-791210</wp:posOffset>
          </wp:positionH>
          <wp:positionV relativeFrom="paragraph">
            <wp:posOffset>-90170</wp:posOffset>
          </wp:positionV>
          <wp:extent cx="7515225" cy="1466850"/>
          <wp:effectExtent l="0" t="0" r="9525" b="0"/>
          <wp:wrapThrough wrapText="bothSides">
            <wp:wrapPolygon edited="0">
              <wp:start x="0" y="0"/>
              <wp:lineTo x="0" y="21319"/>
              <wp:lineTo x="21573" y="21319"/>
              <wp:lineTo x="21573" y="0"/>
              <wp:lineTo x="0" y="0"/>
            </wp:wrapPolygon>
          </wp:wrapThrough>
          <wp:docPr id="9" name="Imagem 9"/>
          <wp:cNvGraphicFramePr/>
          <a:graphic xmlns:a="http://schemas.openxmlformats.org/drawingml/2006/main">
            <a:graphicData uri="http://schemas.openxmlformats.org/drawingml/2006/picture">
              <pic:pic xmlns:pic="http://schemas.openxmlformats.org/drawingml/2006/picture">
                <pic:nvPicPr>
                  <pic:cNvPr id="2" name="Imagem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15225" cy="146685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
  <w:rsids>
    <w:rsidRoot w:val="00B51DEB"/>
    <w:rsid w:val="00027D2D"/>
    <w:rsid w:val="00037534"/>
    <w:rsid w:val="00041B66"/>
    <w:rsid w:val="000A5DAF"/>
    <w:rsid w:val="00252E52"/>
    <w:rsid w:val="002756B0"/>
    <w:rsid w:val="00395E97"/>
    <w:rsid w:val="003E327C"/>
    <w:rsid w:val="004700BA"/>
    <w:rsid w:val="00506109"/>
    <w:rsid w:val="00552374"/>
    <w:rsid w:val="005635B0"/>
    <w:rsid w:val="00570313"/>
    <w:rsid w:val="005A5EA6"/>
    <w:rsid w:val="005C1269"/>
    <w:rsid w:val="00610D5F"/>
    <w:rsid w:val="00647CDA"/>
    <w:rsid w:val="00652490"/>
    <w:rsid w:val="006646BD"/>
    <w:rsid w:val="006D45E5"/>
    <w:rsid w:val="007110D7"/>
    <w:rsid w:val="0074101C"/>
    <w:rsid w:val="007667A4"/>
    <w:rsid w:val="007D196F"/>
    <w:rsid w:val="007E14A5"/>
    <w:rsid w:val="007E5E4C"/>
    <w:rsid w:val="007F5536"/>
    <w:rsid w:val="007F6F54"/>
    <w:rsid w:val="00800593"/>
    <w:rsid w:val="00844B18"/>
    <w:rsid w:val="008A5C51"/>
    <w:rsid w:val="0090424F"/>
    <w:rsid w:val="009348D7"/>
    <w:rsid w:val="00974BB2"/>
    <w:rsid w:val="009800FB"/>
    <w:rsid w:val="0099386F"/>
    <w:rsid w:val="009F3BA5"/>
    <w:rsid w:val="00A25B81"/>
    <w:rsid w:val="00A82D8B"/>
    <w:rsid w:val="00A83FB9"/>
    <w:rsid w:val="00AB071D"/>
    <w:rsid w:val="00B50437"/>
    <w:rsid w:val="00B51DEB"/>
    <w:rsid w:val="00BC4701"/>
    <w:rsid w:val="00C30F94"/>
    <w:rsid w:val="00C57321"/>
    <w:rsid w:val="00C64B76"/>
    <w:rsid w:val="00C64CBD"/>
    <w:rsid w:val="00CA4F44"/>
    <w:rsid w:val="00D7458E"/>
    <w:rsid w:val="00D87DD4"/>
    <w:rsid w:val="00DA19B4"/>
    <w:rsid w:val="00DD1AAC"/>
    <w:rsid w:val="00DD5BD1"/>
    <w:rsid w:val="00DF205B"/>
    <w:rsid w:val="00E5495D"/>
    <w:rsid w:val="00EF2AFE"/>
    <w:rsid w:val="00F118E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B32B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paragraph" w:styleId="Subttulo">
    <w:name w:val="Subtitle"/>
    <w:basedOn w:val="Normal"/>
    <w:next w:val="Normal"/>
    <w:pPr>
      <w:keepNext/>
      <w:keepLines/>
      <w:spacing w:after="320"/>
    </w:pPr>
    <w:rPr>
      <w:color w:val="666666"/>
      <w:sz w:val="30"/>
      <w:szCs w:val="30"/>
    </w:rPr>
  </w:style>
  <w:style w:type="table" w:customStyle="1" w:styleId="a">
    <w:basedOn w:val="TableNormal4"/>
    <w:tblPr>
      <w:tblStyleRowBandSize w:val="1"/>
      <w:tblStyleColBandSize w:val="1"/>
      <w:tblCellMar>
        <w:top w:w="100" w:type="dxa"/>
        <w:left w:w="100" w:type="dxa"/>
        <w:bottom w:w="100" w:type="dxa"/>
        <w:right w:w="100" w:type="dxa"/>
      </w:tblCellMar>
    </w:tblPr>
  </w:style>
  <w:style w:type="table" w:customStyle="1" w:styleId="a0">
    <w:basedOn w:val="TableNormal4"/>
    <w:tblPr>
      <w:tblStyleRowBandSize w:val="1"/>
      <w:tblStyleColBandSize w:val="1"/>
      <w:tblCellMar>
        <w:top w:w="100" w:type="dxa"/>
        <w:left w:w="100" w:type="dxa"/>
        <w:bottom w:w="100" w:type="dxa"/>
        <w:right w:w="100" w:type="dxa"/>
      </w:tblCellMar>
    </w:tblPr>
  </w:style>
  <w:style w:type="table" w:customStyle="1" w:styleId="a1">
    <w:basedOn w:val="TableNormal4"/>
    <w:tblPr>
      <w:tblStyleRowBandSize w:val="1"/>
      <w:tblStyleColBandSize w:val="1"/>
      <w:tblCellMar>
        <w:top w:w="100" w:type="dxa"/>
        <w:left w:w="100" w:type="dxa"/>
        <w:bottom w:w="100" w:type="dxa"/>
        <w:right w:w="100" w:type="dxa"/>
      </w:tblCellMar>
    </w:tblPr>
  </w:style>
  <w:style w:type="table" w:customStyle="1" w:styleId="a2">
    <w:basedOn w:val="TableNormal4"/>
    <w:tblPr>
      <w:tblStyleRowBandSize w:val="1"/>
      <w:tblStyleColBandSize w:val="1"/>
      <w:tblCellMar>
        <w:top w:w="100" w:type="dxa"/>
        <w:left w:w="100" w:type="dxa"/>
        <w:bottom w:w="100" w:type="dxa"/>
        <w:right w:w="100" w:type="dxa"/>
      </w:tblCellMar>
    </w:tblPr>
  </w:style>
  <w:style w:type="table" w:customStyle="1" w:styleId="a3">
    <w:basedOn w:val="TableNormal4"/>
    <w:tblPr>
      <w:tblStyleRowBandSize w:val="1"/>
      <w:tblStyleColBandSize w:val="1"/>
      <w:tblCellMar>
        <w:top w:w="100" w:type="dxa"/>
        <w:left w:w="100" w:type="dxa"/>
        <w:bottom w:w="100" w:type="dxa"/>
        <w:right w:w="100" w:type="dxa"/>
      </w:tblCellMar>
    </w:tblPr>
  </w:style>
  <w:style w:type="table" w:customStyle="1" w:styleId="a4">
    <w:basedOn w:val="TableNormal4"/>
    <w:tblPr>
      <w:tblStyleRowBandSize w:val="1"/>
      <w:tblStyleColBandSize w:val="1"/>
      <w:tblCellMar>
        <w:top w:w="100" w:type="dxa"/>
        <w:left w:w="100" w:type="dxa"/>
        <w:bottom w:w="100" w:type="dxa"/>
        <w:right w:w="100" w:type="dxa"/>
      </w:tblCellMar>
    </w:tblPr>
  </w:style>
  <w:style w:type="table" w:customStyle="1" w:styleId="a5">
    <w:basedOn w:val="TableNormal4"/>
    <w:tblPr>
      <w:tblStyleRowBandSize w:val="1"/>
      <w:tblStyleColBandSize w:val="1"/>
      <w:tblCellMar>
        <w:top w:w="100" w:type="dxa"/>
        <w:left w:w="100" w:type="dxa"/>
        <w:bottom w:w="100" w:type="dxa"/>
        <w:right w:w="100" w:type="dxa"/>
      </w:tblCellMar>
    </w:tblPr>
  </w:style>
  <w:style w:type="table" w:customStyle="1" w:styleId="a6">
    <w:basedOn w:val="TableNormal4"/>
    <w:tblPr>
      <w:tblStyleRowBandSize w:val="1"/>
      <w:tblStyleColBandSize w:val="1"/>
      <w:tblCellMar>
        <w:top w:w="100" w:type="dxa"/>
        <w:left w:w="100" w:type="dxa"/>
        <w:bottom w:w="100" w:type="dxa"/>
        <w:right w:w="100" w:type="dxa"/>
      </w:tblCellMar>
    </w:tblPr>
  </w:style>
  <w:style w:type="table" w:customStyle="1" w:styleId="a7">
    <w:basedOn w:val="TableNormal4"/>
    <w:tblPr>
      <w:tblStyleRowBandSize w:val="1"/>
      <w:tblStyleColBandSize w:val="1"/>
      <w:tblCellMar>
        <w:top w:w="100" w:type="dxa"/>
        <w:left w:w="100" w:type="dxa"/>
        <w:bottom w:w="100" w:type="dxa"/>
        <w:right w:w="100" w:type="dxa"/>
      </w:tblCellMar>
    </w:tblPr>
  </w:style>
  <w:style w:type="table" w:customStyle="1" w:styleId="a8">
    <w:basedOn w:val="TableNormal4"/>
    <w:tblPr>
      <w:tblStyleRowBandSize w:val="1"/>
      <w:tblStyleColBandSize w:val="1"/>
      <w:tblCellMar>
        <w:top w:w="100" w:type="dxa"/>
        <w:left w:w="100" w:type="dxa"/>
        <w:bottom w:w="100" w:type="dxa"/>
        <w:right w:w="100" w:type="dxa"/>
      </w:tblCellMar>
    </w:tblPr>
  </w:style>
  <w:style w:type="table" w:customStyle="1" w:styleId="a9">
    <w:basedOn w:val="TableNormal4"/>
    <w:tblPr>
      <w:tblStyleRowBandSize w:val="1"/>
      <w:tblStyleColBandSize w:val="1"/>
      <w:tblCellMar>
        <w:top w:w="100" w:type="dxa"/>
        <w:left w:w="100" w:type="dxa"/>
        <w:bottom w:w="100" w:type="dxa"/>
        <w:right w:w="100" w:type="dxa"/>
      </w:tblCellMar>
    </w:tblPr>
  </w:style>
  <w:style w:type="table" w:customStyle="1" w:styleId="aa">
    <w:basedOn w:val="TableNormal4"/>
    <w:tblPr>
      <w:tblStyleRowBandSize w:val="1"/>
      <w:tblStyleColBandSize w:val="1"/>
      <w:tblCellMar>
        <w:top w:w="100" w:type="dxa"/>
        <w:left w:w="100" w:type="dxa"/>
        <w:bottom w:w="100" w:type="dxa"/>
        <w:right w:w="100" w:type="dxa"/>
      </w:tblCellMar>
    </w:tblPr>
  </w:style>
  <w:style w:type="table" w:customStyle="1" w:styleId="ab">
    <w:basedOn w:val="TableNormal4"/>
    <w:tblPr>
      <w:tblStyleRowBandSize w:val="1"/>
      <w:tblStyleColBandSize w:val="1"/>
      <w:tblCellMar>
        <w:top w:w="100" w:type="dxa"/>
        <w:left w:w="100" w:type="dxa"/>
        <w:bottom w:w="100" w:type="dxa"/>
        <w:right w:w="100" w:type="dxa"/>
      </w:tblCellMar>
    </w:tblPr>
  </w:style>
  <w:style w:type="table" w:customStyle="1" w:styleId="ac">
    <w:basedOn w:val="TableNormal4"/>
    <w:tblPr>
      <w:tblStyleRowBandSize w:val="1"/>
      <w:tblStyleColBandSize w:val="1"/>
      <w:tblCellMar>
        <w:top w:w="100" w:type="dxa"/>
        <w:left w:w="100" w:type="dxa"/>
        <w:bottom w:w="100" w:type="dxa"/>
        <w:right w:w="100" w:type="dxa"/>
      </w:tblCellMar>
    </w:tblPr>
  </w:style>
  <w:style w:type="table" w:customStyle="1" w:styleId="ad">
    <w:basedOn w:val="TableNormal4"/>
    <w:tblPr>
      <w:tblStyleRowBandSize w:val="1"/>
      <w:tblStyleColBandSize w:val="1"/>
      <w:tblCellMar>
        <w:top w:w="100" w:type="dxa"/>
        <w:left w:w="100" w:type="dxa"/>
        <w:bottom w:w="100" w:type="dxa"/>
        <w:right w:w="100" w:type="dxa"/>
      </w:tblCellMar>
    </w:tblPr>
  </w:style>
  <w:style w:type="table" w:customStyle="1" w:styleId="ae">
    <w:basedOn w:val="TableNormal4"/>
    <w:tblPr>
      <w:tblStyleRowBandSize w:val="1"/>
      <w:tblStyleColBandSize w:val="1"/>
      <w:tblCellMar>
        <w:top w:w="100" w:type="dxa"/>
        <w:left w:w="100" w:type="dxa"/>
        <w:bottom w:w="100" w:type="dxa"/>
        <w:right w:w="100" w:type="dxa"/>
      </w:tblCellMar>
    </w:tblPr>
  </w:style>
  <w:style w:type="table" w:customStyle="1" w:styleId="af">
    <w:basedOn w:val="TableNormal4"/>
    <w:tblPr>
      <w:tblStyleRowBandSize w:val="1"/>
      <w:tblStyleColBandSize w:val="1"/>
      <w:tblCellMar>
        <w:top w:w="100" w:type="dxa"/>
        <w:left w:w="100" w:type="dxa"/>
        <w:bottom w:w="100" w:type="dxa"/>
        <w:right w:w="100" w:type="dxa"/>
      </w:tblCellMar>
    </w:tblPr>
  </w:style>
  <w:style w:type="table" w:customStyle="1" w:styleId="af0">
    <w:basedOn w:val="TableNormal4"/>
    <w:tblPr>
      <w:tblStyleRowBandSize w:val="1"/>
      <w:tblStyleColBandSize w:val="1"/>
      <w:tblCellMar>
        <w:top w:w="100" w:type="dxa"/>
        <w:left w:w="100" w:type="dxa"/>
        <w:bottom w:w="100" w:type="dxa"/>
        <w:right w:w="100" w:type="dxa"/>
      </w:tblCellMar>
    </w:tblPr>
  </w:style>
  <w:style w:type="table" w:customStyle="1" w:styleId="af1">
    <w:basedOn w:val="TableNormal4"/>
    <w:tblPr>
      <w:tblStyleRowBandSize w:val="1"/>
      <w:tblStyleColBandSize w:val="1"/>
      <w:tblCellMar>
        <w:top w:w="100" w:type="dxa"/>
        <w:left w:w="100" w:type="dxa"/>
        <w:bottom w:w="100" w:type="dxa"/>
        <w:right w:w="100" w:type="dxa"/>
      </w:tblCellMar>
    </w:tblPr>
  </w:style>
  <w:style w:type="paragraph" w:styleId="Cabealho">
    <w:name w:val="header"/>
    <w:basedOn w:val="Normal"/>
    <w:link w:val="CabealhoChar"/>
    <w:uiPriority w:val="99"/>
    <w:unhideWhenUsed/>
    <w:rsid w:val="00506109"/>
    <w:pPr>
      <w:tabs>
        <w:tab w:val="center" w:pos="4252"/>
        <w:tab w:val="right" w:pos="8504"/>
      </w:tabs>
      <w:spacing w:line="240" w:lineRule="auto"/>
    </w:pPr>
  </w:style>
  <w:style w:type="character" w:customStyle="1" w:styleId="CabealhoChar">
    <w:name w:val="Cabeçalho Char"/>
    <w:basedOn w:val="Fontepargpadro"/>
    <w:link w:val="Cabealho"/>
    <w:uiPriority w:val="99"/>
    <w:rsid w:val="00506109"/>
  </w:style>
  <w:style w:type="paragraph" w:styleId="Rodap">
    <w:name w:val="footer"/>
    <w:basedOn w:val="Normal"/>
    <w:link w:val="RodapChar"/>
    <w:uiPriority w:val="99"/>
    <w:unhideWhenUsed/>
    <w:rsid w:val="00506109"/>
    <w:pPr>
      <w:tabs>
        <w:tab w:val="center" w:pos="4252"/>
        <w:tab w:val="right" w:pos="8504"/>
      </w:tabs>
      <w:spacing w:line="240" w:lineRule="auto"/>
    </w:pPr>
  </w:style>
  <w:style w:type="character" w:customStyle="1" w:styleId="RodapChar">
    <w:name w:val="Rodapé Char"/>
    <w:basedOn w:val="Fontepargpadro"/>
    <w:link w:val="Rodap"/>
    <w:uiPriority w:val="99"/>
    <w:rsid w:val="00506109"/>
  </w:style>
  <w:style w:type="paragraph" w:styleId="Textodebalo">
    <w:name w:val="Balloon Text"/>
    <w:basedOn w:val="Normal"/>
    <w:link w:val="TextodebaloChar"/>
    <w:uiPriority w:val="99"/>
    <w:semiHidden/>
    <w:unhideWhenUsed/>
    <w:rsid w:val="00506109"/>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0610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paragraph" w:styleId="Subttulo">
    <w:name w:val="Subtitle"/>
    <w:basedOn w:val="Normal"/>
    <w:next w:val="Normal"/>
    <w:pPr>
      <w:keepNext/>
      <w:keepLines/>
      <w:spacing w:after="320"/>
    </w:pPr>
    <w:rPr>
      <w:color w:val="666666"/>
      <w:sz w:val="30"/>
      <w:szCs w:val="30"/>
    </w:rPr>
  </w:style>
  <w:style w:type="table" w:customStyle="1" w:styleId="a">
    <w:basedOn w:val="TableNormal4"/>
    <w:tblPr>
      <w:tblStyleRowBandSize w:val="1"/>
      <w:tblStyleColBandSize w:val="1"/>
      <w:tblCellMar>
        <w:top w:w="100" w:type="dxa"/>
        <w:left w:w="100" w:type="dxa"/>
        <w:bottom w:w="100" w:type="dxa"/>
        <w:right w:w="100" w:type="dxa"/>
      </w:tblCellMar>
    </w:tblPr>
  </w:style>
  <w:style w:type="table" w:customStyle="1" w:styleId="a0">
    <w:basedOn w:val="TableNormal4"/>
    <w:tblPr>
      <w:tblStyleRowBandSize w:val="1"/>
      <w:tblStyleColBandSize w:val="1"/>
      <w:tblCellMar>
        <w:top w:w="100" w:type="dxa"/>
        <w:left w:w="100" w:type="dxa"/>
        <w:bottom w:w="100" w:type="dxa"/>
        <w:right w:w="100" w:type="dxa"/>
      </w:tblCellMar>
    </w:tblPr>
  </w:style>
  <w:style w:type="table" w:customStyle="1" w:styleId="a1">
    <w:basedOn w:val="TableNormal4"/>
    <w:tblPr>
      <w:tblStyleRowBandSize w:val="1"/>
      <w:tblStyleColBandSize w:val="1"/>
      <w:tblCellMar>
        <w:top w:w="100" w:type="dxa"/>
        <w:left w:w="100" w:type="dxa"/>
        <w:bottom w:w="100" w:type="dxa"/>
        <w:right w:w="100" w:type="dxa"/>
      </w:tblCellMar>
    </w:tblPr>
  </w:style>
  <w:style w:type="table" w:customStyle="1" w:styleId="a2">
    <w:basedOn w:val="TableNormal4"/>
    <w:tblPr>
      <w:tblStyleRowBandSize w:val="1"/>
      <w:tblStyleColBandSize w:val="1"/>
      <w:tblCellMar>
        <w:top w:w="100" w:type="dxa"/>
        <w:left w:w="100" w:type="dxa"/>
        <w:bottom w:w="100" w:type="dxa"/>
        <w:right w:w="100" w:type="dxa"/>
      </w:tblCellMar>
    </w:tblPr>
  </w:style>
  <w:style w:type="table" w:customStyle="1" w:styleId="a3">
    <w:basedOn w:val="TableNormal4"/>
    <w:tblPr>
      <w:tblStyleRowBandSize w:val="1"/>
      <w:tblStyleColBandSize w:val="1"/>
      <w:tblCellMar>
        <w:top w:w="100" w:type="dxa"/>
        <w:left w:w="100" w:type="dxa"/>
        <w:bottom w:w="100" w:type="dxa"/>
        <w:right w:w="100" w:type="dxa"/>
      </w:tblCellMar>
    </w:tblPr>
  </w:style>
  <w:style w:type="table" w:customStyle="1" w:styleId="a4">
    <w:basedOn w:val="TableNormal4"/>
    <w:tblPr>
      <w:tblStyleRowBandSize w:val="1"/>
      <w:tblStyleColBandSize w:val="1"/>
      <w:tblCellMar>
        <w:top w:w="100" w:type="dxa"/>
        <w:left w:w="100" w:type="dxa"/>
        <w:bottom w:w="100" w:type="dxa"/>
        <w:right w:w="100" w:type="dxa"/>
      </w:tblCellMar>
    </w:tblPr>
  </w:style>
  <w:style w:type="table" w:customStyle="1" w:styleId="a5">
    <w:basedOn w:val="TableNormal4"/>
    <w:tblPr>
      <w:tblStyleRowBandSize w:val="1"/>
      <w:tblStyleColBandSize w:val="1"/>
      <w:tblCellMar>
        <w:top w:w="100" w:type="dxa"/>
        <w:left w:w="100" w:type="dxa"/>
        <w:bottom w:w="100" w:type="dxa"/>
        <w:right w:w="100" w:type="dxa"/>
      </w:tblCellMar>
    </w:tblPr>
  </w:style>
  <w:style w:type="table" w:customStyle="1" w:styleId="a6">
    <w:basedOn w:val="TableNormal4"/>
    <w:tblPr>
      <w:tblStyleRowBandSize w:val="1"/>
      <w:tblStyleColBandSize w:val="1"/>
      <w:tblCellMar>
        <w:top w:w="100" w:type="dxa"/>
        <w:left w:w="100" w:type="dxa"/>
        <w:bottom w:w="100" w:type="dxa"/>
        <w:right w:w="100" w:type="dxa"/>
      </w:tblCellMar>
    </w:tblPr>
  </w:style>
  <w:style w:type="table" w:customStyle="1" w:styleId="a7">
    <w:basedOn w:val="TableNormal4"/>
    <w:tblPr>
      <w:tblStyleRowBandSize w:val="1"/>
      <w:tblStyleColBandSize w:val="1"/>
      <w:tblCellMar>
        <w:top w:w="100" w:type="dxa"/>
        <w:left w:w="100" w:type="dxa"/>
        <w:bottom w:w="100" w:type="dxa"/>
        <w:right w:w="100" w:type="dxa"/>
      </w:tblCellMar>
    </w:tblPr>
  </w:style>
  <w:style w:type="table" w:customStyle="1" w:styleId="a8">
    <w:basedOn w:val="TableNormal4"/>
    <w:tblPr>
      <w:tblStyleRowBandSize w:val="1"/>
      <w:tblStyleColBandSize w:val="1"/>
      <w:tblCellMar>
        <w:top w:w="100" w:type="dxa"/>
        <w:left w:w="100" w:type="dxa"/>
        <w:bottom w:w="100" w:type="dxa"/>
        <w:right w:w="100" w:type="dxa"/>
      </w:tblCellMar>
    </w:tblPr>
  </w:style>
  <w:style w:type="table" w:customStyle="1" w:styleId="a9">
    <w:basedOn w:val="TableNormal4"/>
    <w:tblPr>
      <w:tblStyleRowBandSize w:val="1"/>
      <w:tblStyleColBandSize w:val="1"/>
      <w:tblCellMar>
        <w:top w:w="100" w:type="dxa"/>
        <w:left w:w="100" w:type="dxa"/>
        <w:bottom w:w="100" w:type="dxa"/>
        <w:right w:w="100" w:type="dxa"/>
      </w:tblCellMar>
    </w:tblPr>
  </w:style>
  <w:style w:type="table" w:customStyle="1" w:styleId="aa">
    <w:basedOn w:val="TableNormal4"/>
    <w:tblPr>
      <w:tblStyleRowBandSize w:val="1"/>
      <w:tblStyleColBandSize w:val="1"/>
      <w:tblCellMar>
        <w:top w:w="100" w:type="dxa"/>
        <w:left w:w="100" w:type="dxa"/>
        <w:bottom w:w="100" w:type="dxa"/>
        <w:right w:w="100" w:type="dxa"/>
      </w:tblCellMar>
    </w:tblPr>
  </w:style>
  <w:style w:type="table" w:customStyle="1" w:styleId="ab">
    <w:basedOn w:val="TableNormal4"/>
    <w:tblPr>
      <w:tblStyleRowBandSize w:val="1"/>
      <w:tblStyleColBandSize w:val="1"/>
      <w:tblCellMar>
        <w:top w:w="100" w:type="dxa"/>
        <w:left w:w="100" w:type="dxa"/>
        <w:bottom w:w="100" w:type="dxa"/>
        <w:right w:w="100" w:type="dxa"/>
      </w:tblCellMar>
    </w:tblPr>
  </w:style>
  <w:style w:type="table" w:customStyle="1" w:styleId="ac">
    <w:basedOn w:val="TableNormal4"/>
    <w:tblPr>
      <w:tblStyleRowBandSize w:val="1"/>
      <w:tblStyleColBandSize w:val="1"/>
      <w:tblCellMar>
        <w:top w:w="100" w:type="dxa"/>
        <w:left w:w="100" w:type="dxa"/>
        <w:bottom w:w="100" w:type="dxa"/>
        <w:right w:w="100" w:type="dxa"/>
      </w:tblCellMar>
    </w:tblPr>
  </w:style>
  <w:style w:type="table" w:customStyle="1" w:styleId="ad">
    <w:basedOn w:val="TableNormal4"/>
    <w:tblPr>
      <w:tblStyleRowBandSize w:val="1"/>
      <w:tblStyleColBandSize w:val="1"/>
      <w:tblCellMar>
        <w:top w:w="100" w:type="dxa"/>
        <w:left w:w="100" w:type="dxa"/>
        <w:bottom w:w="100" w:type="dxa"/>
        <w:right w:w="100" w:type="dxa"/>
      </w:tblCellMar>
    </w:tblPr>
  </w:style>
  <w:style w:type="table" w:customStyle="1" w:styleId="ae">
    <w:basedOn w:val="TableNormal4"/>
    <w:tblPr>
      <w:tblStyleRowBandSize w:val="1"/>
      <w:tblStyleColBandSize w:val="1"/>
      <w:tblCellMar>
        <w:top w:w="100" w:type="dxa"/>
        <w:left w:w="100" w:type="dxa"/>
        <w:bottom w:w="100" w:type="dxa"/>
        <w:right w:w="100" w:type="dxa"/>
      </w:tblCellMar>
    </w:tblPr>
  </w:style>
  <w:style w:type="table" w:customStyle="1" w:styleId="af">
    <w:basedOn w:val="TableNormal4"/>
    <w:tblPr>
      <w:tblStyleRowBandSize w:val="1"/>
      <w:tblStyleColBandSize w:val="1"/>
      <w:tblCellMar>
        <w:top w:w="100" w:type="dxa"/>
        <w:left w:w="100" w:type="dxa"/>
        <w:bottom w:w="100" w:type="dxa"/>
        <w:right w:w="100" w:type="dxa"/>
      </w:tblCellMar>
    </w:tblPr>
  </w:style>
  <w:style w:type="table" w:customStyle="1" w:styleId="af0">
    <w:basedOn w:val="TableNormal4"/>
    <w:tblPr>
      <w:tblStyleRowBandSize w:val="1"/>
      <w:tblStyleColBandSize w:val="1"/>
      <w:tblCellMar>
        <w:top w:w="100" w:type="dxa"/>
        <w:left w:w="100" w:type="dxa"/>
        <w:bottom w:w="100" w:type="dxa"/>
        <w:right w:w="100" w:type="dxa"/>
      </w:tblCellMar>
    </w:tblPr>
  </w:style>
  <w:style w:type="table" w:customStyle="1" w:styleId="af1">
    <w:basedOn w:val="TableNormal4"/>
    <w:tblPr>
      <w:tblStyleRowBandSize w:val="1"/>
      <w:tblStyleColBandSize w:val="1"/>
      <w:tblCellMar>
        <w:top w:w="100" w:type="dxa"/>
        <w:left w:w="100" w:type="dxa"/>
        <w:bottom w:w="100" w:type="dxa"/>
        <w:right w:w="100" w:type="dxa"/>
      </w:tblCellMar>
    </w:tblPr>
  </w:style>
  <w:style w:type="paragraph" w:styleId="Cabealho">
    <w:name w:val="header"/>
    <w:basedOn w:val="Normal"/>
    <w:link w:val="CabealhoChar"/>
    <w:uiPriority w:val="99"/>
    <w:unhideWhenUsed/>
    <w:rsid w:val="00506109"/>
    <w:pPr>
      <w:tabs>
        <w:tab w:val="center" w:pos="4252"/>
        <w:tab w:val="right" w:pos="8504"/>
      </w:tabs>
      <w:spacing w:line="240" w:lineRule="auto"/>
    </w:pPr>
  </w:style>
  <w:style w:type="character" w:customStyle="1" w:styleId="CabealhoChar">
    <w:name w:val="Cabeçalho Char"/>
    <w:basedOn w:val="Fontepargpadro"/>
    <w:link w:val="Cabealho"/>
    <w:uiPriority w:val="99"/>
    <w:rsid w:val="00506109"/>
  </w:style>
  <w:style w:type="paragraph" w:styleId="Rodap">
    <w:name w:val="footer"/>
    <w:basedOn w:val="Normal"/>
    <w:link w:val="RodapChar"/>
    <w:uiPriority w:val="99"/>
    <w:unhideWhenUsed/>
    <w:rsid w:val="00506109"/>
    <w:pPr>
      <w:tabs>
        <w:tab w:val="center" w:pos="4252"/>
        <w:tab w:val="right" w:pos="8504"/>
      </w:tabs>
      <w:spacing w:line="240" w:lineRule="auto"/>
    </w:pPr>
  </w:style>
  <w:style w:type="character" w:customStyle="1" w:styleId="RodapChar">
    <w:name w:val="Rodapé Char"/>
    <w:basedOn w:val="Fontepargpadro"/>
    <w:link w:val="Rodap"/>
    <w:uiPriority w:val="99"/>
    <w:rsid w:val="00506109"/>
  </w:style>
  <w:style w:type="paragraph" w:styleId="Textodebalo">
    <w:name w:val="Balloon Text"/>
    <w:basedOn w:val="Normal"/>
    <w:link w:val="TextodebaloChar"/>
    <w:uiPriority w:val="99"/>
    <w:semiHidden/>
    <w:unhideWhenUsed/>
    <w:rsid w:val="00506109"/>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061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XFmf5maKFHvukuVApkSOZA23D0Q==">CgMxLjA4AHIhMUN6ZUNWekpwb1lZTTVHdEthNXh5TDQtYWs5RllvTXJi</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23D6CEC-3D8C-4D46-934B-1254B6AD1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711</TotalTime>
  <Pages>4</Pages>
  <Words>1382</Words>
  <Characters>7467</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Licitação</dc:creator>
  <cp:lastModifiedBy>Licitação Sirlene</cp:lastModifiedBy>
  <cp:revision>24</cp:revision>
  <cp:lastPrinted>2024-08-06T14:21:00Z</cp:lastPrinted>
  <dcterms:created xsi:type="dcterms:W3CDTF">2024-08-01T18:19:00Z</dcterms:created>
  <dcterms:modified xsi:type="dcterms:W3CDTF">2025-03-26T12:40:00Z</dcterms:modified>
</cp:coreProperties>
</file>